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BA650" w14:textId="77777777" w:rsidR="00A14C07" w:rsidRPr="00877DF0" w:rsidRDefault="00A14C07" w:rsidP="00AD60B6">
      <w:pPr>
        <w:rPr>
          <w:rFonts w:ascii="Arial" w:hAnsi="Arial" w:cs="Arial"/>
          <w:sz w:val="16"/>
          <w:szCs w:val="16"/>
        </w:rPr>
      </w:pPr>
    </w:p>
    <w:tbl>
      <w:tblPr>
        <w:tblStyle w:val="TableGrid"/>
        <w:tblW w:w="0" w:type="auto"/>
        <w:tblLook w:val="04A0" w:firstRow="1" w:lastRow="0" w:firstColumn="1" w:lastColumn="0" w:noHBand="0" w:noVBand="1"/>
      </w:tblPr>
      <w:tblGrid>
        <w:gridCol w:w="1874"/>
        <w:gridCol w:w="1923"/>
        <w:gridCol w:w="3131"/>
        <w:gridCol w:w="2088"/>
      </w:tblGrid>
      <w:tr w:rsidR="00CA1A95" w:rsidRPr="002E6460" w14:paraId="2E8AF7D0" w14:textId="77777777" w:rsidTr="00055D97">
        <w:trPr>
          <w:trHeight w:val="530"/>
        </w:trPr>
        <w:tc>
          <w:tcPr>
            <w:tcW w:w="1890" w:type="dxa"/>
            <w:shd w:val="clear" w:color="auto" w:fill="F2F2F2" w:themeFill="background1" w:themeFillShade="F2"/>
            <w:vAlign w:val="center"/>
          </w:tcPr>
          <w:p w14:paraId="18D7F1CE" w14:textId="77777777" w:rsidR="00CA1A95" w:rsidRPr="002E6460" w:rsidRDefault="00CA1A95" w:rsidP="00055D97">
            <w:pPr>
              <w:rPr>
                <w:rFonts w:ascii="Arial" w:hAnsi="Arial" w:cs="Arial"/>
                <w:b/>
                <w:color w:val="A00054"/>
              </w:rPr>
            </w:pPr>
            <w:bookmarkStart w:id="0" w:name="_Hlk84516596"/>
            <w:r w:rsidRPr="002E6460">
              <w:rPr>
                <w:rFonts w:ascii="Arial" w:hAnsi="Arial" w:cs="Arial"/>
                <w:b/>
                <w:color w:val="A00054"/>
              </w:rPr>
              <w:t>Title of paper:</w:t>
            </w:r>
          </w:p>
        </w:tc>
        <w:tc>
          <w:tcPr>
            <w:tcW w:w="7352" w:type="dxa"/>
            <w:gridSpan w:val="3"/>
            <w:shd w:val="clear" w:color="auto" w:fill="F2F2F2" w:themeFill="background1" w:themeFillShade="F2"/>
            <w:vAlign w:val="center"/>
          </w:tcPr>
          <w:p w14:paraId="2F641BCB" w14:textId="576A123A" w:rsidR="00B96157" w:rsidRPr="003E1982" w:rsidRDefault="00E94AD0" w:rsidP="00055D97">
            <w:pPr>
              <w:rPr>
                <w:rFonts w:ascii="Arial" w:hAnsi="Arial" w:cs="Arial"/>
              </w:rPr>
            </w:pPr>
            <w:r>
              <w:rPr>
                <w:rFonts w:ascii="Arial" w:hAnsi="Arial" w:cs="Arial"/>
              </w:rPr>
              <w:t>Safety Needles</w:t>
            </w:r>
            <w:r w:rsidR="001831BE">
              <w:rPr>
                <w:rFonts w:ascii="Arial" w:hAnsi="Arial" w:cs="Arial"/>
              </w:rPr>
              <w:t xml:space="preserve"> </w:t>
            </w:r>
          </w:p>
        </w:tc>
      </w:tr>
      <w:tr w:rsidR="0009164C" w:rsidRPr="002E6460" w14:paraId="742384AA" w14:textId="77777777" w:rsidTr="00055D97">
        <w:trPr>
          <w:trHeight w:val="573"/>
        </w:trPr>
        <w:tc>
          <w:tcPr>
            <w:tcW w:w="1890" w:type="dxa"/>
            <w:shd w:val="clear" w:color="auto" w:fill="F2F2F2" w:themeFill="background1" w:themeFillShade="F2"/>
            <w:vAlign w:val="center"/>
          </w:tcPr>
          <w:p w14:paraId="2451C1D4" w14:textId="77777777" w:rsidR="0009164C" w:rsidRPr="002E6460" w:rsidRDefault="0009164C" w:rsidP="0009164C">
            <w:pPr>
              <w:rPr>
                <w:rFonts w:ascii="Arial" w:hAnsi="Arial" w:cs="Arial"/>
                <w:b/>
                <w:color w:val="A00054"/>
              </w:rPr>
            </w:pPr>
            <w:r>
              <w:rPr>
                <w:rFonts w:ascii="Arial" w:hAnsi="Arial" w:cs="Arial"/>
                <w:b/>
                <w:color w:val="A00054"/>
              </w:rPr>
              <w:t>Meeting d</w:t>
            </w:r>
            <w:r w:rsidRPr="002E6460">
              <w:rPr>
                <w:rFonts w:ascii="Arial" w:hAnsi="Arial" w:cs="Arial"/>
                <w:b/>
                <w:color w:val="A00054"/>
              </w:rPr>
              <w:t>ate:</w:t>
            </w:r>
          </w:p>
        </w:tc>
        <w:tc>
          <w:tcPr>
            <w:tcW w:w="7352" w:type="dxa"/>
            <w:gridSpan w:val="3"/>
            <w:shd w:val="clear" w:color="auto" w:fill="F2F2F2" w:themeFill="background1" w:themeFillShade="F2"/>
            <w:vAlign w:val="center"/>
          </w:tcPr>
          <w:p w14:paraId="6F859EA1" w14:textId="2F78F8A0" w:rsidR="0009164C" w:rsidRPr="003E1982" w:rsidRDefault="00E94AD0" w:rsidP="0009164C">
            <w:pPr>
              <w:rPr>
                <w:rFonts w:ascii="Arial" w:hAnsi="Arial" w:cs="Arial"/>
              </w:rPr>
            </w:pPr>
            <w:r>
              <w:rPr>
                <w:rFonts w:ascii="Arial" w:hAnsi="Arial" w:cs="Arial"/>
              </w:rPr>
              <w:t xml:space="preserve">Wednesday </w:t>
            </w:r>
            <w:r w:rsidR="00B45EA7">
              <w:rPr>
                <w:rFonts w:ascii="Arial" w:hAnsi="Arial" w:cs="Arial"/>
              </w:rPr>
              <w:t>5</w:t>
            </w:r>
            <w:r w:rsidR="00B45EA7" w:rsidRPr="00B45EA7">
              <w:rPr>
                <w:rFonts w:ascii="Arial" w:hAnsi="Arial" w:cs="Arial"/>
                <w:vertAlign w:val="superscript"/>
              </w:rPr>
              <w:t>th</w:t>
            </w:r>
            <w:r w:rsidR="00B45EA7">
              <w:rPr>
                <w:rFonts w:ascii="Arial" w:hAnsi="Arial" w:cs="Arial"/>
              </w:rPr>
              <w:t xml:space="preserve"> April 2023</w:t>
            </w:r>
          </w:p>
        </w:tc>
      </w:tr>
      <w:tr w:rsidR="0009164C" w:rsidRPr="002E6460" w14:paraId="56FAE499" w14:textId="77777777" w:rsidTr="00CA1A95">
        <w:trPr>
          <w:trHeight w:val="542"/>
        </w:trPr>
        <w:tc>
          <w:tcPr>
            <w:tcW w:w="1890" w:type="dxa"/>
            <w:shd w:val="clear" w:color="auto" w:fill="F2F2F2" w:themeFill="background1" w:themeFillShade="F2"/>
            <w:vAlign w:val="center"/>
          </w:tcPr>
          <w:p w14:paraId="11A56978" w14:textId="77777777" w:rsidR="0009164C" w:rsidRPr="002E6460" w:rsidRDefault="0009164C" w:rsidP="0009164C">
            <w:pPr>
              <w:rPr>
                <w:rFonts w:ascii="Arial" w:hAnsi="Arial" w:cs="Arial"/>
                <w:b/>
                <w:color w:val="A00054"/>
              </w:rPr>
            </w:pPr>
            <w:r w:rsidRPr="002E6460">
              <w:rPr>
                <w:rFonts w:ascii="Arial" w:hAnsi="Arial" w:cs="Arial"/>
                <w:b/>
                <w:color w:val="A00054"/>
              </w:rPr>
              <w:t>Agenda item:</w:t>
            </w:r>
          </w:p>
        </w:tc>
        <w:tc>
          <w:tcPr>
            <w:tcW w:w="1960" w:type="dxa"/>
            <w:shd w:val="clear" w:color="auto" w:fill="F2F2F2" w:themeFill="background1" w:themeFillShade="F2"/>
            <w:vAlign w:val="center"/>
          </w:tcPr>
          <w:p w14:paraId="11CBCFE0" w14:textId="77777777" w:rsidR="0009164C" w:rsidRPr="00CA1A95" w:rsidRDefault="0009164C" w:rsidP="00A14C07">
            <w:pPr>
              <w:rPr>
                <w:rFonts w:ascii="Arial" w:hAnsi="Arial" w:cs="Arial"/>
                <w:color w:val="FF0000"/>
              </w:rPr>
            </w:pPr>
            <w:r>
              <w:rPr>
                <w:rFonts w:ascii="Arial" w:hAnsi="Arial" w:cs="Arial"/>
                <w:color w:val="FF0000"/>
              </w:rPr>
              <w:t xml:space="preserve">To be completed by </w:t>
            </w:r>
            <w:r w:rsidR="00A14C07">
              <w:rPr>
                <w:rFonts w:ascii="Arial" w:hAnsi="Arial" w:cs="Arial"/>
                <w:color w:val="FF0000"/>
              </w:rPr>
              <w:t xml:space="preserve">APC </w:t>
            </w:r>
            <w:r>
              <w:rPr>
                <w:rFonts w:ascii="Arial" w:hAnsi="Arial" w:cs="Arial"/>
                <w:color w:val="FF0000"/>
              </w:rPr>
              <w:t>secretary</w:t>
            </w:r>
          </w:p>
        </w:tc>
        <w:tc>
          <w:tcPr>
            <w:tcW w:w="3204" w:type="dxa"/>
            <w:shd w:val="clear" w:color="auto" w:fill="F2F2F2" w:themeFill="background1" w:themeFillShade="F2"/>
            <w:vAlign w:val="center"/>
          </w:tcPr>
          <w:p w14:paraId="52F28F74" w14:textId="77777777" w:rsidR="0009164C" w:rsidRPr="002E6460" w:rsidRDefault="0009164C" w:rsidP="0009164C">
            <w:pPr>
              <w:jc w:val="right"/>
              <w:rPr>
                <w:rFonts w:ascii="Arial" w:hAnsi="Arial" w:cs="Arial"/>
              </w:rPr>
            </w:pPr>
            <w:r w:rsidRPr="002E6460">
              <w:rPr>
                <w:rFonts w:ascii="Arial" w:hAnsi="Arial" w:cs="Arial"/>
                <w:b/>
                <w:color w:val="A00054"/>
              </w:rPr>
              <w:t>Attachment</w:t>
            </w:r>
            <w:r>
              <w:rPr>
                <w:rFonts w:ascii="Arial" w:hAnsi="Arial" w:cs="Arial"/>
                <w:b/>
                <w:color w:val="A00054"/>
              </w:rPr>
              <w:t>(s)</w:t>
            </w:r>
            <w:r w:rsidRPr="002E6460">
              <w:rPr>
                <w:rFonts w:ascii="Arial" w:hAnsi="Arial" w:cs="Arial"/>
                <w:b/>
                <w:color w:val="A00054"/>
              </w:rPr>
              <w:t>:</w:t>
            </w:r>
          </w:p>
        </w:tc>
        <w:tc>
          <w:tcPr>
            <w:tcW w:w="2188" w:type="dxa"/>
            <w:shd w:val="clear" w:color="auto" w:fill="F2F2F2" w:themeFill="background1" w:themeFillShade="F2"/>
            <w:vAlign w:val="center"/>
          </w:tcPr>
          <w:p w14:paraId="3E762F21" w14:textId="77777777" w:rsidR="0009164C" w:rsidRPr="00CA1A95" w:rsidRDefault="0009164C" w:rsidP="0009164C">
            <w:pPr>
              <w:rPr>
                <w:rFonts w:ascii="Arial" w:hAnsi="Arial" w:cs="Arial"/>
                <w:color w:val="FF0000"/>
              </w:rPr>
            </w:pPr>
          </w:p>
        </w:tc>
      </w:tr>
      <w:tr w:rsidR="0009164C" w:rsidRPr="002E6460" w14:paraId="35B20CEE" w14:textId="77777777" w:rsidTr="00055D97">
        <w:trPr>
          <w:trHeight w:val="542"/>
        </w:trPr>
        <w:tc>
          <w:tcPr>
            <w:tcW w:w="1890" w:type="dxa"/>
            <w:shd w:val="clear" w:color="auto" w:fill="F2F2F2" w:themeFill="background1" w:themeFillShade="F2"/>
            <w:vAlign w:val="center"/>
          </w:tcPr>
          <w:p w14:paraId="722092BA" w14:textId="77777777" w:rsidR="0009164C" w:rsidRDefault="0009164C" w:rsidP="0009164C">
            <w:pPr>
              <w:rPr>
                <w:rFonts w:ascii="Arial" w:hAnsi="Arial" w:cs="Arial"/>
                <w:b/>
                <w:color w:val="A00054"/>
              </w:rPr>
            </w:pPr>
            <w:r>
              <w:rPr>
                <w:rFonts w:ascii="Arial" w:hAnsi="Arial" w:cs="Arial"/>
                <w:b/>
                <w:color w:val="A00054"/>
              </w:rPr>
              <w:t>Author and contributors:</w:t>
            </w:r>
          </w:p>
        </w:tc>
        <w:tc>
          <w:tcPr>
            <w:tcW w:w="7352" w:type="dxa"/>
            <w:gridSpan w:val="3"/>
            <w:shd w:val="clear" w:color="auto" w:fill="F2F2F2" w:themeFill="background1" w:themeFillShade="F2"/>
            <w:vAlign w:val="center"/>
          </w:tcPr>
          <w:p w14:paraId="1DD95582" w14:textId="3FD69D7C" w:rsidR="00B96157" w:rsidRPr="003E1982" w:rsidRDefault="00E94AD0" w:rsidP="00E94AD0">
            <w:pPr>
              <w:rPr>
                <w:rFonts w:ascii="Arial" w:hAnsi="Arial" w:cs="Arial"/>
              </w:rPr>
            </w:pPr>
            <w:r>
              <w:rPr>
                <w:rFonts w:ascii="Arial" w:hAnsi="Arial" w:cs="Arial"/>
              </w:rPr>
              <w:t>Perminder Oberai, Lead Medicines Optimisation Pharmacist</w:t>
            </w:r>
            <w:r w:rsidRPr="003E1982">
              <w:rPr>
                <w:rFonts w:ascii="Arial" w:hAnsi="Arial" w:cs="Arial"/>
              </w:rPr>
              <w:t xml:space="preserve"> </w:t>
            </w:r>
          </w:p>
        </w:tc>
      </w:tr>
      <w:tr w:rsidR="0009164C" w:rsidRPr="002E6460" w14:paraId="6640929D" w14:textId="77777777" w:rsidTr="00055D97">
        <w:trPr>
          <w:trHeight w:val="542"/>
        </w:trPr>
        <w:tc>
          <w:tcPr>
            <w:tcW w:w="1890" w:type="dxa"/>
            <w:shd w:val="clear" w:color="auto" w:fill="F2F2F2" w:themeFill="background1" w:themeFillShade="F2"/>
            <w:vAlign w:val="center"/>
          </w:tcPr>
          <w:p w14:paraId="0AA6E2DA" w14:textId="77777777" w:rsidR="0009164C" w:rsidRPr="002E6460" w:rsidRDefault="0009164C" w:rsidP="0009164C">
            <w:pPr>
              <w:rPr>
                <w:rFonts w:ascii="Arial" w:hAnsi="Arial" w:cs="Arial"/>
                <w:b/>
                <w:color w:val="A00054"/>
              </w:rPr>
            </w:pPr>
            <w:r>
              <w:rPr>
                <w:rFonts w:ascii="Arial" w:hAnsi="Arial" w:cs="Arial"/>
                <w:b/>
                <w:color w:val="A00054"/>
              </w:rPr>
              <w:t>Paper type</w:t>
            </w:r>
          </w:p>
        </w:tc>
        <w:tc>
          <w:tcPr>
            <w:tcW w:w="7352" w:type="dxa"/>
            <w:gridSpan w:val="3"/>
            <w:shd w:val="clear" w:color="auto" w:fill="F2F2F2" w:themeFill="background1" w:themeFillShade="F2"/>
            <w:vAlign w:val="center"/>
          </w:tcPr>
          <w:p w14:paraId="3F59773F" w14:textId="2A94BCDC" w:rsidR="0009164C" w:rsidRPr="003E1982" w:rsidRDefault="0057154C" w:rsidP="00E94AD0">
            <w:pPr>
              <w:rPr>
                <w:rFonts w:ascii="Arial" w:hAnsi="Arial" w:cs="Arial"/>
              </w:rPr>
            </w:pPr>
            <w:r w:rsidRPr="003E1982">
              <w:rPr>
                <w:rFonts w:ascii="Arial" w:hAnsi="Arial" w:cs="Arial"/>
              </w:rPr>
              <w:t>Briefing</w:t>
            </w:r>
          </w:p>
        </w:tc>
      </w:tr>
      <w:tr w:rsidR="0009164C" w:rsidRPr="002E6460" w14:paraId="657D0B1B" w14:textId="77777777" w:rsidTr="00055D97">
        <w:trPr>
          <w:trHeight w:val="542"/>
        </w:trPr>
        <w:tc>
          <w:tcPr>
            <w:tcW w:w="1890" w:type="dxa"/>
            <w:shd w:val="clear" w:color="auto" w:fill="F2F2F2" w:themeFill="background1" w:themeFillShade="F2"/>
            <w:vAlign w:val="center"/>
          </w:tcPr>
          <w:p w14:paraId="56456BFF" w14:textId="77777777" w:rsidR="0009164C" w:rsidRPr="002E6460" w:rsidRDefault="0009164C" w:rsidP="0009164C">
            <w:pPr>
              <w:rPr>
                <w:rFonts w:ascii="Arial" w:hAnsi="Arial" w:cs="Arial"/>
                <w:b/>
                <w:color w:val="A00054"/>
              </w:rPr>
            </w:pPr>
            <w:r w:rsidRPr="002E6460">
              <w:rPr>
                <w:rFonts w:ascii="Arial" w:hAnsi="Arial" w:cs="Arial"/>
                <w:b/>
                <w:color w:val="A00054"/>
              </w:rPr>
              <w:t xml:space="preserve">For: </w:t>
            </w:r>
          </w:p>
        </w:tc>
        <w:tc>
          <w:tcPr>
            <w:tcW w:w="7352" w:type="dxa"/>
            <w:gridSpan w:val="3"/>
            <w:shd w:val="clear" w:color="auto" w:fill="F2F2F2" w:themeFill="background1" w:themeFillShade="F2"/>
            <w:vAlign w:val="center"/>
          </w:tcPr>
          <w:p w14:paraId="404D031B" w14:textId="4815C592" w:rsidR="0009164C" w:rsidRPr="003E1982" w:rsidRDefault="0057154C" w:rsidP="0009164C">
            <w:pPr>
              <w:rPr>
                <w:rFonts w:ascii="Arial" w:hAnsi="Arial" w:cs="Arial"/>
              </w:rPr>
            </w:pPr>
            <w:r w:rsidRPr="003E1982">
              <w:rPr>
                <w:rFonts w:ascii="Arial" w:hAnsi="Arial" w:cs="Arial"/>
              </w:rPr>
              <w:t>Agreement</w:t>
            </w:r>
            <w:r w:rsidR="00B45EA7">
              <w:rPr>
                <w:rFonts w:ascii="Arial" w:hAnsi="Arial" w:cs="Arial"/>
              </w:rPr>
              <w:t xml:space="preserve"> </w:t>
            </w:r>
          </w:p>
        </w:tc>
      </w:tr>
      <w:tr w:rsidR="0009164C" w:rsidRPr="002E6460" w14:paraId="49450100" w14:textId="77777777" w:rsidTr="00055D97">
        <w:trPr>
          <w:trHeight w:val="2982"/>
        </w:trPr>
        <w:tc>
          <w:tcPr>
            <w:tcW w:w="9242" w:type="dxa"/>
            <w:gridSpan w:val="4"/>
          </w:tcPr>
          <w:p w14:paraId="09200505" w14:textId="77777777" w:rsidR="0009164C" w:rsidRPr="0092131E" w:rsidRDefault="0009164C" w:rsidP="0009164C">
            <w:pPr>
              <w:rPr>
                <w:rFonts w:ascii="Arial" w:hAnsi="Arial" w:cs="Arial"/>
                <w:b/>
                <w:color w:val="A00054"/>
                <w:sz w:val="24"/>
                <w:szCs w:val="24"/>
              </w:rPr>
            </w:pPr>
            <w:bookmarkStart w:id="1" w:name="_Hlk84856152"/>
            <w:r>
              <w:rPr>
                <w:rFonts w:ascii="Arial" w:hAnsi="Arial" w:cs="Arial"/>
                <w:b/>
                <w:color w:val="A00054"/>
              </w:rPr>
              <w:t>Executive Summary:</w:t>
            </w:r>
            <w:r w:rsidRPr="00F14EEB">
              <w:rPr>
                <w:rFonts w:ascii="Arial" w:hAnsi="Arial" w:cs="Arial"/>
                <w:i/>
                <w:color w:val="A00054"/>
                <w:sz w:val="20"/>
                <w:szCs w:val="20"/>
              </w:rPr>
              <w:t xml:space="preserve"> (provide a short de</w:t>
            </w:r>
            <w:r>
              <w:rPr>
                <w:rFonts w:ascii="Arial" w:hAnsi="Arial" w:cs="Arial"/>
                <w:i/>
                <w:color w:val="A00054"/>
                <w:sz w:val="20"/>
                <w:szCs w:val="20"/>
              </w:rPr>
              <w:t>scription of the subject matter and draw attention to the issues / facts and the proposal)</w:t>
            </w:r>
          </w:p>
          <w:p w14:paraId="104E1269" w14:textId="56D69EC6" w:rsidR="0057154C" w:rsidRDefault="0057154C" w:rsidP="0009164C">
            <w:pPr>
              <w:rPr>
                <w:rFonts w:ascii="Arial" w:hAnsi="Arial" w:cs="Arial"/>
              </w:rPr>
            </w:pPr>
          </w:p>
          <w:p w14:paraId="06BA3872" w14:textId="41BA2BE7" w:rsidR="0057154C" w:rsidRDefault="00E237BC" w:rsidP="00315D95">
            <w:pPr>
              <w:rPr>
                <w:rFonts w:ascii="Arial" w:hAnsi="Arial" w:cs="Arial"/>
              </w:rPr>
            </w:pPr>
            <w:r>
              <w:rPr>
                <w:rFonts w:ascii="Arial" w:hAnsi="Arial" w:cs="Arial"/>
              </w:rPr>
              <w:t>In</w:t>
            </w:r>
            <w:r w:rsidR="00315D95">
              <w:rPr>
                <w:rFonts w:ascii="Arial" w:hAnsi="Arial" w:cs="Arial"/>
              </w:rPr>
              <w:t xml:space="preserve"> June 2019, NHS England produced guidance for CGGs about i</w:t>
            </w:r>
            <w:r w:rsidR="00315D95" w:rsidRPr="00315D95">
              <w:rPr>
                <w:rFonts w:ascii="Arial" w:hAnsi="Arial" w:cs="Arial"/>
              </w:rPr>
              <w:t>tems</w:t>
            </w:r>
            <w:r w:rsidR="00315D95">
              <w:rPr>
                <w:rFonts w:ascii="Arial" w:hAnsi="Arial" w:cs="Arial"/>
              </w:rPr>
              <w:t xml:space="preserve"> which should not routinely be  prescribed in primary care</w:t>
            </w:r>
            <w:r w:rsidR="004A28DE">
              <w:rPr>
                <w:rFonts w:ascii="Arial" w:hAnsi="Arial" w:cs="Arial"/>
              </w:rPr>
              <w:t xml:space="preserve"> (1)</w:t>
            </w:r>
            <w:r w:rsidR="00315D95">
              <w:rPr>
                <w:rFonts w:ascii="Arial" w:hAnsi="Arial" w:cs="Arial"/>
              </w:rPr>
              <w:t xml:space="preserve">: </w:t>
            </w:r>
            <w:hyperlink r:id="rId8" w:history="1">
              <w:r w:rsidR="00315D95" w:rsidRPr="00454BA5">
                <w:rPr>
                  <w:rStyle w:val="Hyperlink"/>
                  <w:rFonts w:ascii="Arial" w:hAnsi="Arial" w:cs="Arial"/>
                </w:rPr>
                <w:t>https://www.england.nhs.uk/wp-content/uploads/2019/08/items-which-should-not-routinely-be-prescribed-in-primary-care-v2.1.pdf</w:t>
              </w:r>
            </w:hyperlink>
            <w:r w:rsidR="004A28DE">
              <w:rPr>
                <w:rStyle w:val="Hyperlink"/>
                <w:rFonts w:ascii="Arial" w:hAnsi="Arial" w:cs="Arial"/>
              </w:rPr>
              <w:t xml:space="preserve">  </w:t>
            </w:r>
          </w:p>
          <w:p w14:paraId="16D6B482" w14:textId="77777777" w:rsidR="00315D95" w:rsidRDefault="00315D95" w:rsidP="00315D95">
            <w:pPr>
              <w:rPr>
                <w:rFonts w:ascii="Arial" w:hAnsi="Arial" w:cs="Arial"/>
              </w:rPr>
            </w:pPr>
          </w:p>
          <w:p w14:paraId="3F4AA8EA" w14:textId="1A74BE34" w:rsidR="00315D95" w:rsidRDefault="00315D95" w:rsidP="00315D95">
            <w:pPr>
              <w:rPr>
                <w:rFonts w:ascii="Arial" w:hAnsi="Arial" w:cs="Arial"/>
              </w:rPr>
            </w:pPr>
            <w:r>
              <w:rPr>
                <w:rFonts w:ascii="Arial" w:hAnsi="Arial" w:cs="Arial"/>
              </w:rPr>
              <w:t xml:space="preserve">This guidance </w:t>
            </w:r>
            <w:r w:rsidR="0045292B">
              <w:rPr>
                <w:rFonts w:ascii="Arial" w:hAnsi="Arial" w:cs="Arial"/>
              </w:rPr>
              <w:t>states:</w:t>
            </w:r>
            <w:r>
              <w:rPr>
                <w:rFonts w:ascii="Arial" w:hAnsi="Arial" w:cs="Arial"/>
              </w:rPr>
              <w:t xml:space="preserve"> </w:t>
            </w:r>
          </w:p>
          <w:p w14:paraId="33DF573E" w14:textId="77777777" w:rsidR="00851E11" w:rsidRDefault="00851E11" w:rsidP="00315D95">
            <w:pPr>
              <w:rPr>
                <w:rFonts w:ascii="Arial" w:hAnsi="Arial" w:cs="Arial"/>
              </w:rPr>
            </w:pPr>
          </w:p>
          <w:p w14:paraId="72A562AE" w14:textId="757D4616" w:rsidR="00315D95" w:rsidRDefault="00E237BC" w:rsidP="00315D95">
            <w:pPr>
              <w:rPr>
                <w:rFonts w:ascii="Arial" w:hAnsi="Arial" w:cs="Arial"/>
              </w:rPr>
            </w:pPr>
            <w:r>
              <w:rPr>
                <w:i/>
              </w:rPr>
              <w:t>‘’</w:t>
            </w:r>
            <w:r w:rsidR="00315D95" w:rsidRPr="00315D95">
              <w:rPr>
                <w:i/>
              </w:rPr>
              <w:t>f</w:t>
            </w:r>
            <w:r w:rsidR="00315D95" w:rsidRPr="00315D95">
              <w:rPr>
                <w:rFonts w:ascii="Arial" w:hAnsi="Arial" w:cs="Arial"/>
                <w:i/>
              </w:rPr>
              <w:t xml:space="preserve">or patients that are not able to self-administer it may be appropriate that a safety needle </w:t>
            </w:r>
            <w:r w:rsidR="0045292B" w:rsidRPr="00315D95">
              <w:rPr>
                <w:rFonts w:ascii="Arial" w:hAnsi="Arial" w:cs="Arial"/>
                <w:i/>
              </w:rPr>
              <w:t>is</w:t>
            </w:r>
            <w:r w:rsidR="0045292B">
              <w:rPr>
                <w:rFonts w:ascii="Arial" w:hAnsi="Arial" w:cs="Arial"/>
                <w:i/>
              </w:rPr>
              <w:t xml:space="preserve"> </w:t>
            </w:r>
            <w:r w:rsidR="0045292B" w:rsidRPr="00315D95">
              <w:rPr>
                <w:rFonts w:ascii="Arial" w:hAnsi="Arial" w:cs="Arial"/>
                <w:i/>
              </w:rPr>
              <w:t>used</w:t>
            </w:r>
            <w:r w:rsidR="00315D95" w:rsidRPr="00315D95">
              <w:rPr>
                <w:rFonts w:ascii="Arial" w:hAnsi="Arial" w:cs="Arial"/>
                <w:i/>
              </w:rPr>
              <w:t xml:space="preserve"> by the health care professional, however this would not need to be prescribed on prescription</w:t>
            </w:r>
            <w:r w:rsidR="00315D95" w:rsidRPr="00315D95">
              <w:rPr>
                <w:rFonts w:ascii="Arial" w:hAnsi="Arial" w:cs="Arial"/>
              </w:rPr>
              <w:t>.</w:t>
            </w:r>
            <w:r>
              <w:rPr>
                <w:rFonts w:ascii="Arial" w:hAnsi="Arial" w:cs="Arial"/>
              </w:rPr>
              <w:t>’’</w:t>
            </w:r>
            <w:r w:rsidR="00315D95">
              <w:rPr>
                <w:rFonts w:ascii="Arial" w:hAnsi="Arial" w:cs="Arial"/>
              </w:rPr>
              <w:t xml:space="preserve"> </w:t>
            </w:r>
          </w:p>
          <w:p w14:paraId="25326B21" w14:textId="3911FCCB" w:rsidR="0045292B" w:rsidRDefault="0045292B" w:rsidP="00315D95">
            <w:pPr>
              <w:rPr>
                <w:rFonts w:ascii="Arial" w:hAnsi="Arial" w:cs="Arial"/>
              </w:rPr>
            </w:pPr>
          </w:p>
          <w:p w14:paraId="54A5050D" w14:textId="46CD95F8" w:rsidR="0045292B" w:rsidRPr="0045292B" w:rsidRDefault="0045292B" w:rsidP="0045292B">
            <w:pPr>
              <w:rPr>
                <w:rFonts w:ascii="Arial" w:hAnsi="Arial" w:cs="Arial"/>
              </w:rPr>
            </w:pPr>
            <w:r>
              <w:rPr>
                <w:rFonts w:ascii="Arial" w:hAnsi="Arial" w:cs="Arial"/>
              </w:rPr>
              <w:t>In March 2022 the A</w:t>
            </w:r>
            <w:r w:rsidR="00BD4514">
              <w:rPr>
                <w:rFonts w:ascii="Arial" w:hAnsi="Arial" w:cs="Arial"/>
              </w:rPr>
              <w:t xml:space="preserve">rea </w:t>
            </w:r>
            <w:r>
              <w:rPr>
                <w:rFonts w:ascii="Arial" w:hAnsi="Arial" w:cs="Arial"/>
              </w:rPr>
              <w:t>P</w:t>
            </w:r>
            <w:r w:rsidR="00BD4514">
              <w:rPr>
                <w:rFonts w:ascii="Arial" w:hAnsi="Arial" w:cs="Arial"/>
              </w:rPr>
              <w:t xml:space="preserve">rescribing </w:t>
            </w:r>
            <w:r>
              <w:rPr>
                <w:rFonts w:ascii="Arial" w:hAnsi="Arial" w:cs="Arial"/>
              </w:rPr>
              <w:t>C</w:t>
            </w:r>
            <w:r w:rsidR="00BD4514">
              <w:rPr>
                <w:rFonts w:ascii="Arial" w:hAnsi="Arial" w:cs="Arial"/>
              </w:rPr>
              <w:t>ommittee (APC)</w:t>
            </w:r>
            <w:r>
              <w:rPr>
                <w:rFonts w:ascii="Arial" w:hAnsi="Arial" w:cs="Arial"/>
              </w:rPr>
              <w:t xml:space="preserve"> agreed that </w:t>
            </w:r>
            <w:r w:rsidRPr="0045292B">
              <w:rPr>
                <w:rFonts w:ascii="Arial" w:hAnsi="Arial" w:cs="Arial"/>
              </w:rPr>
              <w:t xml:space="preserve">in line with </w:t>
            </w:r>
            <w:r w:rsidR="00B45EA7">
              <w:rPr>
                <w:rFonts w:ascii="Arial" w:hAnsi="Arial" w:cs="Arial"/>
              </w:rPr>
              <w:t>NHS England</w:t>
            </w:r>
            <w:r w:rsidR="00BD4514">
              <w:rPr>
                <w:rFonts w:ascii="Arial" w:hAnsi="Arial" w:cs="Arial"/>
              </w:rPr>
              <w:t xml:space="preserve"> </w:t>
            </w:r>
            <w:r w:rsidR="00B45EA7">
              <w:rPr>
                <w:rFonts w:ascii="Arial" w:hAnsi="Arial" w:cs="Arial"/>
              </w:rPr>
              <w:t xml:space="preserve">and </w:t>
            </w:r>
            <w:r w:rsidRPr="0045292B">
              <w:rPr>
                <w:rFonts w:ascii="Arial" w:hAnsi="Arial" w:cs="Arial"/>
              </w:rPr>
              <w:t xml:space="preserve">The Health and Safety (Sharp Instruments in Healthcare) Regulations 2013: Guidance for employers and employees, </w:t>
            </w:r>
            <w:r w:rsidR="00660857">
              <w:rPr>
                <w:rFonts w:ascii="Arial" w:hAnsi="Arial" w:cs="Arial"/>
              </w:rPr>
              <w:t>all</w:t>
            </w:r>
            <w:r w:rsidRPr="0045292B">
              <w:rPr>
                <w:rFonts w:ascii="Arial" w:hAnsi="Arial" w:cs="Arial"/>
              </w:rPr>
              <w:t xml:space="preserve"> employers of healthcare professionals should provide access to safety </w:t>
            </w:r>
            <w:r w:rsidR="00660857" w:rsidRPr="0045292B">
              <w:rPr>
                <w:rFonts w:ascii="Arial" w:hAnsi="Arial" w:cs="Arial"/>
              </w:rPr>
              <w:t>needles,</w:t>
            </w:r>
            <w:r w:rsidR="00660857">
              <w:rPr>
                <w:rFonts w:ascii="Arial" w:hAnsi="Arial" w:cs="Arial"/>
              </w:rPr>
              <w:t xml:space="preserve"> and they should not obtain them from an FP10 prescription</w:t>
            </w:r>
            <w:r w:rsidRPr="0045292B">
              <w:rPr>
                <w:rFonts w:ascii="Arial" w:hAnsi="Arial" w:cs="Arial"/>
              </w:rPr>
              <w:t>.</w:t>
            </w:r>
            <w:r w:rsidR="00BD4514">
              <w:rPr>
                <w:rFonts w:ascii="Arial" w:hAnsi="Arial" w:cs="Arial"/>
              </w:rPr>
              <w:t xml:space="preserve"> (1),</w:t>
            </w:r>
            <w:r w:rsidR="00BD4514" w:rsidRPr="0045292B">
              <w:rPr>
                <w:rFonts w:ascii="Arial" w:hAnsi="Arial" w:cs="Arial"/>
              </w:rPr>
              <w:t xml:space="preserve"> (</w:t>
            </w:r>
            <w:r w:rsidRPr="0045292B">
              <w:rPr>
                <w:rFonts w:ascii="Arial" w:hAnsi="Arial" w:cs="Arial"/>
              </w:rPr>
              <w:t>2)</w:t>
            </w:r>
          </w:p>
          <w:p w14:paraId="03C6A25A" w14:textId="77777777" w:rsidR="00851E11" w:rsidRDefault="00851E11" w:rsidP="00315D95">
            <w:pPr>
              <w:rPr>
                <w:rFonts w:ascii="Arial" w:hAnsi="Arial" w:cs="Arial"/>
              </w:rPr>
            </w:pPr>
          </w:p>
          <w:p w14:paraId="4D20F242" w14:textId="3CD2F608" w:rsidR="00662532" w:rsidRDefault="008E075F" w:rsidP="008E075F">
            <w:pPr>
              <w:rPr>
                <w:rFonts w:ascii="Arial" w:hAnsi="Arial" w:cs="Arial"/>
              </w:rPr>
            </w:pPr>
            <w:r>
              <w:rPr>
                <w:rFonts w:ascii="Arial" w:hAnsi="Arial" w:cs="Arial"/>
              </w:rPr>
              <w:t xml:space="preserve">The APC wanted </w:t>
            </w:r>
            <w:r w:rsidR="00BD4514">
              <w:rPr>
                <w:rFonts w:ascii="Arial" w:hAnsi="Arial" w:cs="Arial"/>
              </w:rPr>
              <w:t xml:space="preserve">clarification on the </w:t>
            </w:r>
            <w:r w:rsidR="00660857">
              <w:rPr>
                <w:rFonts w:ascii="Arial" w:hAnsi="Arial" w:cs="Arial"/>
              </w:rPr>
              <w:t>situations when</w:t>
            </w:r>
            <w:r w:rsidR="00BD4514">
              <w:rPr>
                <w:rFonts w:ascii="Arial" w:hAnsi="Arial" w:cs="Arial"/>
              </w:rPr>
              <w:t xml:space="preserve"> a clinician would prescribe </w:t>
            </w:r>
            <w:r w:rsidR="00972715">
              <w:rPr>
                <w:rFonts w:ascii="Arial" w:hAnsi="Arial" w:cs="Arial"/>
              </w:rPr>
              <w:t>safety needles and lancets</w:t>
            </w:r>
            <w:r w:rsidR="00BD4514">
              <w:rPr>
                <w:rFonts w:ascii="Arial" w:hAnsi="Arial" w:cs="Arial"/>
              </w:rPr>
              <w:t xml:space="preserve"> on FP10</w:t>
            </w:r>
            <w:r w:rsidR="00972715">
              <w:rPr>
                <w:rFonts w:ascii="Arial" w:hAnsi="Arial" w:cs="Arial"/>
              </w:rPr>
              <w:t xml:space="preserve">. </w:t>
            </w:r>
          </w:p>
          <w:p w14:paraId="5E291ED1" w14:textId="709D287F" w:rsidR="00AD6434" w:rsidRDefault="00AD6434" w:rsidP="00315D95">
            <w:pPr>
              <w:rPr>
                <w:rFonts w:ascii="Arial" w:hAnsi="Arial" w:cs="Arial"/>
              </w:rPr>
            </w:pPr>
          </w:p>
          <w:p w14:paraId="58277806" w14:textId="7D34655A" w:rsidR="00BD4514" w:rsidRDefault="00BD4514" w:rsidP="00315D95">
            <w:pPr>
              <w:rPr>
                <w:rFonts w:ascii="Arial" w:hAnsi="Arial" w:cs="Arial"/>
              </w:rPr>
            </w:pPr>
          </w:p>
          <w:p w14:paraId="5E213277" w14:textId="3A99FA57" w:rsidR="00BD4514" w:rsidRDefault="00BD4514" w:rsidP="00315D95">
            <w:pPr>
              <w:rPr>
                <w:rFonts w:ascii="Arial" w:hAnsi="Arial" w:cs="Arial"/>
              </w:rPr>
            </w:pPr>
          </w:p>
          <w:p w14:paraId="40259FCA" w14:textId="77777777" w:rsidR="00BD4514" w:rsidRDefault="00BD4514" w:rsidP="00315D95">
            <w:pPr>
              <w:rPr>
                <w:rFonts w:ascii="Arial" w:hAnsi="Arial" w:cs="Arial"/>
              </w:rPr>
            </w:pPr>
          </w:p>
          <w:p w14:paraId="4882495B" w14:textId="49593271" w:rsidR="00315D95" w:rsidRPr="00DB1D35" w:rsidRDefault="00315D95" w:rsidP="00315D95">
            <w:pPr>
              <w:rPr>
                <w:rFonts w:ascii="Arial" w:hAnsi="Arial" w:cs="Arial"/>
              </w:rPr>
            </w:pPr>
          </w:p>
        </w:tc>
      </w:tr>
      <w:bookmarkEnd w:id="1"/>
      <w:tr w:rsidR="0009164C" w:rsidRPr="002E6460" w14:paraId="74BB2AFE" w14:textId="77777777" w:rsidTr="00055D97">
        <w:trPr>
          <w:trHeight w:val="768"/>
        </w:trPr>
        <w:tc>
          <w:tcPr>
            <w:tcW w:w="9242" w:type="dxa"/>
            <w:gridSpan w:val="4"/>
          </w:tcPr>
          <w:p w14:paraId="774427C6" w14:textId="6007FBF6" w:rsidR="0009164C" w:rsidRDefault="00660857" w:rsidP="0009164C">
            <w:pPr>
              <w:spacing w:before="240"/>
              <w:jc w:val="both"/>
              <w:rPr>
                <w:rFonts w:ascii="Arial" w:hAnsi="Arial" w:cs="Arial"/>
                <w:i/>
                <w:color w:val="A00054"/>
                <w:sz w:val="20"/>
                <w:szCs w:val="20"/>
              </w:rPr>
            </w:pPr>
            <w:r>
              <w:rPr>
                <w:rFonts w:ascii="Arial" w:hAnsi="Arial" w:cs="Arial"/>
                <w:b/>
                <w:color w:val="A00054"/>
              </w:rPr>
              <w:t>The APC is asked:</w:t>
            </w:r>
          </w:p>
          <w:p w14:paraId="5C2D8A77" w14:textId="7F93A44B" w:rsidR="0077125C" w:rsidRDefault="00315D95" w:rsidP="00851E11">
            <w:pPr>
              <w:pStyle w:val="ListParagraph"/>
              <w:numPr>
                <w:ilvl w:val="0"/>
                <w:numId w:val="30"/>
              </w:numPr>
              <w:rPr>
                <w:rFonts w:ascii="Arial" w:hAnsi="Arial" w:cs="Arial"/>
              </w:rPr>
            </w:pPr>
            <w:r>
              <w:rPr>
                <w:rFonts w:ascii="Arial" w:hAnsi="Arial" w:cs="Arial"/>
              </w:rPr>
              <w:t xml:space="preserve">To </w:t>
            </w:r>
            <w:r w:rsidR="00BD4514">
              <w:rPr>
                <w:rFonts w:ascii="Arial" w:hAnsi="Arial" w:cs="Arial"/>
              </w:rPr>
              <w:t>agree</w:t>
            </w:r>
            <w:r w:rsidR="0077125C">
              <w:rPr>
                <w:rFonts w:ascii="Arial" w:hAnsi="Arial" w:cs="Arial"/>
              </w:rPr>
              <w:t xml:space="preserve"> under which circumstances </w:t>
            </w:r>
            <w:r>
              <w:rPr>
                <w:rFonts w:ascii="Arial" w:hAnsi="Arial" w:cs="Arial"/>
              </w:rPr>
              <w:t>safety needles should be prescribed on FP10</w:t>
            </w:r>
            <w:r w:rsidR="0077125C">
              <w:rPr>
                <w:rFonts w:ascii="Arial" w:hAnsi="Arial" w:cs="Arial"/>
              </w:rPr>
              <w:t>.</w:t>
            </w:r>
          </w:p>
          <w:p w14:paraId="2CF2ABF2" w14:textId="36EF47AC" w:rsidR="0009164C" w:rsidRPr="00660857" w:rsidRDefault="0009164C" w:rsidP="00972715">
            <w:pPr>
              <w:pStyle w:val="ListParagraph"/>
              <w:ind w:left="360"/>
              <w:rPr>
                <w:rFonts w:ascii="Arial" w:hAnsi="Arial" w:cs="Arial"/>
              </w:rPr>
            </w:pPr>
          </w:p>
        </w:tc>
      </w:tr>
      <w:tr w:rsidR="0009164C" w:rsidRPr="002E6460" w14:paraId="76BBD32F" w14:textId="77777777" w:rsidTr="00055D97">
        <w:tc>
          <w:tcPr>
            <w:tcW w:w="9242" w:type="dxa"/>
            <w:gridSpan w:val="4"/>
          </w:tcPr>
          <w:p w14:paraId="4B6D486F" w14:textId="77777777" w:rsidR="0009164C" w:rsidRPr="002E6460" w:rsidRDefault="0009164C" w:rsidP="0009164C">
            <w:pPr>
              <w:rPr>
                <w:rFonts w:ascii="Arial" w:hAnsi="Arial" w:cs="Arial"/>
                <w:color w:val="A00054"/>
              </w:rPr>
            </w:pPr>
            <w:r w:rsidRPr="002E6460">
              <w:rPr>
                <w:rFonts w:ascii="Arial" w:hAnsi="Arial" w:cs="Arial"/>
                <w:b/>
                <w:color w:val="A00054"/>
              </w:rPr>
              <w:t>Accompanying papers</w:t>
            </w:r>
            <w:r w:rsidRPr="002E6460">
              <w:rPr>
                <w:rFonts w:ascii="Arial" w:hAnsi="Arial" w:cs="Arial"/>
                <w:color w:val="A00054"/>
              </w:rPr>
              <w:t xml:space="preserve"> (please list):</w:t>
            </w:r>
          </w:p>
          <w:p w14:paraId="3A80B566" w14:textId="20FD77F2" w:rsidR="0009164C" w:rsidRPr="0086697E" w:rsidRDefault="00972715" w:rsidP="00B96157">
            <w:pPr>
              <w:pStyle w:val="ListParagraph"/>
              <w:numPr>
                <w:ilvl w:val="0"/>
                <w:numId w:val="4"/>
              </w:numPr>
              <w:rPr>
                <w:rFonts w:ascii="Arial" w:hAnsi="Arial" w:cs="Arial"/>
              </w:rPr>
            </w:pPr>
            <w:r>
              <w:rPr>
                <w:rFonts w:ascii="Arial" w:hAnsi="Arial" w:cs="Arial"/>
              </w:rPr>
              <w:t xml:space="preserve">N/A </w:t>
            </w:r>
          </w:p>
        </w:tc>
      </w:tr>
      <w:bookmarkEnd w:id="0"/>
    </w:tbl>
    <w:p w14:paraId="1EA196B5" w14:textId="5F8057E6" w:rsidR="00916350" w:rsidRDefault="00916350" w:rsidP="0057154C">
      <w:pPr>
        <w:spacing w:after="0"/>
        <w:rPr>
          <w:rFonts w:ascii="Arial" w:hAnsi="Arial" w:cs="Arial"/>
        </w:rPr>
      </w:pPr>
    </w:p>
    <w:p w14:paraId="59B8F0E3" w14:textId="26FE289B" w:rsidR="00AD6434" w:rsidRDefault="00AD6434" w:rsidP="0057154C">
      <w:pPr>
        <w:spacing w:after="0"/>
        <w:rPr>
          <w:rFonts w:ascii="Arial" w:hAnsi="Arial" w:cs="Arial"/>
        </w:rPr>
      </w:pPr>
    </w:p>
    <w:p w14:paraId="7F688A9C" w14:textId="689A8DBD" w:rsidR="00AD6434" w:rsidRDefault="00AD6434" w:rsidP="0057154C">
      <w:pPr>
        <w:spacing w:after="0"/>
        <w:rPr>
          <w:rFonts w:ascii="Arial" w:hAnsi="Arial" w:cs="Arial"/>
        </w:rPr>
      </w:pPr>
    </w:p>
    <w:p w14:paraId="0C3C6A4C" w14:textId="04C6A8E6" w:rsidR="00AD6434" w:rsidRDefault="00AD6434" w:rsidP="0057154C">
      <w:pPr>
        <w:spacing w:after="0"/>
        <w:rPr>
          <w:rFonts w:ascii="Arial" w:hAnsi="Arial" w:cs="Arial"/>
        </w:rPr>
      </w:pPr>
    </w:p>
    <w:p w14:paraId="70E0FBA1" w14:textId="29669184" w:rsidR="00AD6434" w:rsidRDefault="00AD6434" w:rsidP="0057154C">
      <w:pPr>
        <w:spacing w:after="0"/>
        <w:rPr>
          <w:rFonts w:ascii="Arial" w:hAnsi="Arial" w:cs="Arial"/>
        </w:rPr>
      </w:pPr>
    </w:p>
    <w:p w14:paraId="79D6855B" w14:textId="77777777" w:rsidR="00AD6434" w:rsidRDefault="00AD6434" w:rsidP="0057154C">
      <w:pPr>
        <w:spacing w:after="0"/>
        <w:rPr>
          <w:rFonts w:ascii="Arial" w:hAnsi="Arial" w:cs="Arial"/>
        </w:rPr>
      </w:pPr>
    </w:p>
    <w:p w14:paraId="1EE7AEF1" w14:textId="52BF7ACD" w:rsidR="00DB1D35" w:rsidRDefault="00DB1D35" w:rsidP="0057154C">
      <w:pPr>
        <w:spacing w:after="0"/>
        <w:rPr>
          <w:rFonts w:ascii="Arial" w:hAnsi="Arial" w:cs="Arial"/>
        </w:rPr>
      </w:pPr>
    </w:p>
    <w:p w14:paraId="117C94DD" w14:textId="77777777" w:rsidR="00AD6434" w:rsidRPr="00851E11" w:rsidRDefault="00AD6434" w:rsidP="00AD6434">
      <w:pPr>
        <w:rPr>
          <w:rFonts w:ascii="Arial" w:hAnsi="Arial" w:cs="Arial"/>
          <w:b/>
          <w:u w:val="single"/>
        </w:rPr>
      </w:pPr>
      <w:r w:rsidRPr="00624567">
        <w:rPr>
          <w:rFonts w:ascii="Arial" w:hAnsi="Arial" w:cs="Arial"/>
          <w:b/>
          <w:color w:val="365F91" w:themeColor="accent1" w:themeShade="BF"/>
          <w:u w:val="single"/>
        </w:rPr>
        <w:t xml:space="preserve">Current Situation </w:t>
      </w:r>
    </w:p>
    <w:p w14:paraId="736794DC" w14:textId="77777777" w:rsidR="00AD6434" w:rsidRDefault="00AD6434" w:rsidP="00AD6434">
      <w:pPr>
        <w:rPr>
          <w:rFonts w:ascii="Arial" w:hAnsi="Arial" w:cs="Arial"/>
        </w:rPr>
      </w:pPr>
      <w:r w:rsidRPr="00851E11">
        <w:rPr>
          <w:rFonts w:ascii="Arial" w:hAnsi="Arial" w:cs="Arial"/>
        </w:rPr>
        <w:t xml:space="preserve">In 2019, NHS England updated its guidance on items that should not be routinely prescribed in primary care to include needles for pre-filled and reusable insulin pens. </w:t>
      </w:r>
      <w:r>
        <w:rPr>
          <w:rFonts w:ascii="Arial" w:hAnsi="Arial" w:cs="Arial"/>
        </w:rPr>
        <w:t>(1)</w:t>
      </w:r>
    </w:p>
    <w:p w14:paraId="67C6AD10" w14:textId="77777777" w:rsidR="00AD6434" w:rsidRDefault="00AD6434" w:rsidP="00AD6434">
      <w:pPr>
        <w:rPr>
          <w:rFonts w:ascii="Arial" w:hAnsi="Arial" w:cs="Arial"/>
        </w:rPr>
      </w:pPr>
      <w:r w:rsidRPr="00851E11">
        <w:rPr>
          <w:rFonts w:ascii="Arial" w:hAnsi="Arial" w:cs="Arial"/>
        </w:rPr>
        <w:t>It advised C</w:t>
      </w:r>
      <w:r>
        <w:rPr>
          <w:rFonts w:ascii="Arial" w:hAnsi="Arial" w:cs="Arial"/>
        </w:rPr>
        <w:t xml:space="preserve">linical </w:t>
      </w:r>
      <w:r w:rsidRPr="00851E11">
        <w:rPr>
          <w:rFonts w:ascii="Arial" w:hAnsi="Arial" w:cs="Arial"/>
        </w:rPr>
        <w:t>C</w:t>
      </w:r>
      <w:r>
        <w:rPr>
          <w:rFonts w:ascii="Arial" w:hAnsi="Arial" w:cs="Arial"/>
        </w:rPr>
        <w:t xml:space="preserve">ommissioning </w:t>
      </w:r>
      <w:r w:rsidRPr="00851E11">
        <w:rPr>
          <w:rFonts w:ascii="Arial" w:hAnsi="Arial" w:cs="Arial"/>
        </w:rPr>
        <w:t>G</w:t>
      </w:r>
      <w:r>
        <w:rPr>
          <w:rFonts w:ascii="Arial" w:hAnsi="Arial" w:cs="Arial"/>
        </w:rPr>
        <w:t>roup</w:t>
      </w:r>
      <w:r w:rsidRPr="00851E11">
        <w:rPr>
          <w:rFonts w:ascii="Arial" w:hAnsi="Arial" w:cs="Arial"/>
        </w:rPr>
        <w:t>s:</w:t>
      </w:r>
    </w:p>
    <w:p w14:paraId="4BEA2371" w14:textId="77777777" w:rsidR="00AD6434" w:rsidRPr="00851E11" w:rsidRDefault="00AD6434" w:rsidP="00AD6434">
      <w:pPr>
        <w:pStyle w:val="ListParagraph"/>
        <w:numPr>
          <w:ilvl w:val="0"/>
          <w:numId w:val="34"/>
        </w:numPr>
        <w:rPr>
          <w:rFonts w:ascii="Arial" w:hAnsi="Arial" w:cs="Arial"/>
        </w:rPr>
      </w:pPr>
      <w:r w:rsidRPr="00851E11">
        <w:rPr>
          <w:rFonts w:ascii="Arial" w:hAnsi="Arial" w:cs="Arial"/>
        </w:rPr>
        <w:t xml:space="preserve">that prescribers in primary care should not initiate insulin pen needles that cost &gt;£5 per 100 needles for any diabetes patient </w:t>
      </w:r>
    </w:p>
    <w:p w14:paraId="705E7DB7" w14:textId="77777777" w:rsidR="00AD6434" w:rsidRPr="00851E11" w:rsidRDefault="00AD6434" w:rsidP="00AD6434">
      <w:pPr>
        <w:pStyle w:val="ListParagraph"/>
        <w:numPr>
          <w:ilvl w:val="0"/>
          <w:numId w:val="34"/>
        </w:numPr>
        <w:rPr>
          <w:rFonts w:ascii="Arial" w:hAnsi="Arial" w:cs="Arial"/>
        </w:rPr>
      </w:pPr>
      <w:r w:rsidRPr="00851E11">
        <w:rPr>
          <w:rFonts w:ascii="Arial" w:hAnsi="Arial" w:cs="Arial"/>
        </w:rPr>
        <w:t>to support prescribers in deprescribing insulin pen needles that cost &gt;£5 per 100 needles and where appropriate ensure the availability of relevant services to facilitate this change.</w:t>
      </w:r>
    </w:p>
    <w:p w14:paraId="7409C33F" w14:textId="77777777" w:rsidR="00AD6434" w:rsidRPr="00851E11" w:rsidRDefault="00AD6434" w:rsidP="00AD6434">
      <w:pPr>
        <w:pStyle w:val="ListParagraph"/>
        <w:numPr>
          <w:ilvl w:val="0"/>
          <w:numId w:val="34"/>
        </w:numPr>
        <w:rPr>
          <w:rFonts w:ascii="Arial" w:hAnsi="Arial" w:cs="Arial"/>
        </w:rPr>
      </w:pPr>
      <w:r w:rsidRPr="00851E11">
        <w:rPr>
          <w:rFonts w:ascii="Arial" w:hAnsi="Arial" w:cs="Arial"/>
        </w:rPr>
        <w:t>For patients that are not able to self-administer it may be appropriate that a safety needle which incorporate</w:t>
      </w:r>
      <w:r>
        <w:rPr>
          <w:rFonts w:ascii="Arial" w:hAnsi="Arial" w:cs="Arial"/>
        </w:rPr>
        <w:t xml:space="preserve">s an automatic safety lock, </w:t>
      </w:r>
      <w:r w:rsidRPr="00851E11">
        <w:rPr>
          <w:rFonts w:ascii="Arial" w:hAnsi="Arial" w:cs="Arial"/>
        </w:rPr>
        <w:t>is used by the health care professional, however this would not need to be prescribed on prescription.</w:t>
      </w:r>
    </w:p>
    <w:p w14:paraId="35944C23" w14:textId="1396EF35" w:rsidR="00AD6434" w:rsidRDefault="00AD6434" w:rsidP="00AD6434">
      <w:pPr>
        <w:rPr>
          <w:rFonts w:ascii="Arial" w:hAnsi="Arial" w:cs="Arial"/>
        </w:rPr>
      </w:pPr>
      <w:r>
        <w:rPr>
          <w:rFonts w:ascii="Arial" w:hAnsi="Arial" w:cs="Arial"/>
        </w:rPr>
        <w:t xml:space="preserve">Since the NHSE guidance was published, there has been </w:t>
      </w:r>
      <w:r w:rsidR="00660857">
        <w:rPr>
          <w:rFonts w:ascii="Arial" w:hAnsi="Arial" w:cs="Arial"/>
        </w:rPr>
        <w:t>significant</w:t>
      </w:r>
      <w:r>
        <w:rPr>
          <w:rFonts w:ascii="Arial" w:hAnsi="Arial" w:cs="Arial"/>
        </w:rPr>
        <w:t xml:space="preserve"> prescribing of safety needles in Primary Care</w:t>
      </w:r>
      <w:r w:rsidRPr="003B4812">
        <w:rPr>
          <w:rFonts w:ascii="Arial" w:hAnsi="Arial" w:cs="Arial"/>
        </w:rPr>
        <w:t xml:space="preserve">. </w:t>
      </w:r>
      <w:r w:rsidR="00660857" w:rsidRPr="003B4812">
        <w:rPr>
          <w:rFonts w:ascii="Arial" w:hAnsi="Arial" w:cs="Arial"/>
        </w:rPr>
        <w:t>(</w:t>
      </w:r>
      <w:r w:rsidR="003B4812" w:rsidRPr="003B4812">
        <w:rPr>
          <w:rFonts w:ascii="Arial" w:hAnsi="Arial" w:cs="Arial"/>
        </w:rPr>
        <w:t>See</w:t>
      </w:r>
      <w:r w:rsidR="0019105B" w:rsidRPr="003B4812">
        <w:rPr>
          <w:rFonts w:ascii="Arial" w:hAnsi="Arial" w:cs="Arial"/>
        </w:rPr>
        <w:t xml:space="preserve"> </w:t>
      </w:r>
      <w:r w:rsidR="003B4812" w:rsidRPr="003B4812">
        <w:rPr>
          <w:rFonts w:ascii="Arial" w:hAnsi="Arial" w:cs="Arial"/>
        </w:rPr>
        <w:t>Graph</w:t>
      </w:r>
      <w:r w:rsidR="003B4812">
        <w:rPr>
          <w:rFonts w:ascii="Arial" w:hAnsi="Arial" w:cs="Arial"/>
        </w:rPr>
        <w:t xml:space="preserve"> 1 and table 1)</w:t>
      </w:r>
    </w:p>
    <w:p w14:paraId="7E5406FA" w14:textId="24F4BB96" w:rsidR="00BD4514" w:rsidRDefault="00BD4514" w:rsidP="00AD6434">
      <w:pPr>
        <w:rPr>
          <w:rFonts w:ascii="Arial" w:hAnsi="Arial" w:cs="Arial"/>
        </w:rPr>
      </w:pPr>
      <w:r>
        <w:rPr>
          <w:rFonts w:ascii="Arial" w:hAnsi="Arial" w:cs="Arial"/>
        </w:rPr>
        <w:t xml:space="preserve">In March 2022 the APC </w:t>
      </w:r>
      <w:r w:rsidRPr="00BD4514">
        <w:rPr>
          <w:rFonts w:ascii="Arial" w:hAnsi="Arial" w:cs="Arial"/>
        </w:rPr>
        <w:t xml:space="preserve">agreed that in line with </w:t>
      </w:r>
      <w:r>
        <w:rPr>
          <w:rFonts w:ascii="Arial" w:hAnsi="Arial" w:cs="Arial"/>
        </w:rPr>
        <w:t>guidance</w:t>
      </w:r>
      <w:r w:rsidRPr="00BD4514">
        <w:rPr>
          <w:rFonts w:ascii="Arial" w:hAnsi="Arial" w:cs="Arial"/>
        </w:rPr>
        <w:t xml:space="preserve"> the employers of healthcare professionals should provide access to safety needles</w:t>
      </w:r>
      <w:r>
        <w:rPr>
          <w:rFonts w:ascii="Arial" w:hAnsi="Arial" w:cs="Arial"/>
        </w:rPr>
        <w:t xml:space="preserve"> but further clarification on needle choice and prescribing circumstances was needed</w:t>
      </w:r>
      <w:r w:rsidRPr="00BD4514">
        <w:rPr>
          <w:rFonts w:ascii="Arial" w:hAnsi="Arial" w:cs="Arial"/>
        </w:rPr>
        <w:t xml:space="preserve">. </w:t>
      </w:r>
    </w:p>
    <w:p w14:paraId="46B0F276" w14:textId="7B8F1F94" w:rsidR="00624567" w:rsidRDefault="00511B8A" w:rsidP="00851E11">
      <w:pPr>
        <w:rPr>
          <w:rFonts w:ascii="Arial" w:hAnsi="Arial" w:cs="Arial"/>
          <w:b/>
          <w:color w:val="365F91" w:themeColor="accent1" w:themeShade="BF"/>
          <w:u w:val="single"/>
        </w:rPr>
      </w:pPr>
      <w:r>
        <w:rPr>
          <w:rFonts w:ascii="Arial" w:hAnsi="Arial" w:cs="Arial"/>
        </w:rPr>
        <w:t xml:space="preserve"> </w:t>
      </w:r>
      <w:r w:rsidR="00624567">
        <w:rPr>
          <w:rFonts w:ascii="Arial" w:hAnsi="Arial" w:cs="Arial"/>
          <w:b/>
          <w:color w:val="365F91" w:themeColor="accent1" w:themeShade="BF"/>
          <w:u w:val="single"/>
        </w:rPr>
        <w:t>Cost implication</w:t>
      </w:r>
    </w:p>
    <w:p w14:paraId="784ED05F" w14:textId="42274F16" w:rsidR="008E075F" w:rsidRDefault="00624567" w:rsidP="00851E11">
      <w:pPr>
        <w:rPr>
          <w:rFonts w:ascii="Arial" w:hAnsi="Arial" w:cs="Arial"/>
          <w:b/>
        </w:rPr>
      </w:pPr>
      <w:r>
        <w:rPr>
          <w:rFonts w:ascii="Arial" w:hAnsi="Arial" w:cs="Arial"/>
          <w:b/>
        </w:rPr>
        <w:t>Cost of safety pen needles</w:t>
      </w:r>
      <w:r w:rsidR="008E075F">
        <w:rPr>
          <w:rFonts w:ascii="Arial" w:hAnsi="Arial" w:cs="Arial"/>
          <w:b/>
        </w:rPr>
        <w:t xml:space="preserve"> and lancets – Drug Tariff February 2023 </w:t>
      </w:r>
    </w:p>
    <w:tbl>
      <w:tblPr>
        <w:tblpPr w:leftFromText="180" w:rightFromText="180" w:vertAnchor="text" w:horzAnchor="margin" w:tblpXSpec="center" w:tblpY="-33"/>
        <w:tblW w:w="9918" w:type="dxa"/>
        <w:tblLook w:val="04A0" w:firstRow="1" w:lastRow="0" w:firstColumn="1" w:lastColumn="0" w:noHBand="0" w:noVBand="1"/>
      </w:tblPr>
      <w:tblGrid>
        <w:gridCol w:w="8500"/>
        <w:gridCol w:w="1418"/>
      </w:tblGrid>
      <w:tr w:rsidR="00624567" w:rsidRPr="00851E11" w14:paraId="3AB46E2E" w14:textId="77777777" w:rsidTr="00624567">
        <w:trPr>
          <w:trHeight w:val="300"/>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70F860" w14:textId="7CA97DF1" w:rsidR="00624567" w:rsidRPr="0019105B" w:rsidRDefault="00624567" w:rsidP="00624567">
            <w:pPr>
              <w:spacing w:after="0" w:line="240" w:lineRule="auto"/>
              <w:rPr>
                <w:rFonts w:ascii="Calibri" w:eastAsia="Times New Roman" w:hAnsi="Calibri" w:cs="Calibri"/>
                <w:b/>
                <w:bCs/>
                <w:color w:val="000000"/>
                <w:lang w:eastAsia="en-GB"/>
              </w:rPr>
            </w:pPr>
            <w:bookmarkStart w:id="2" w:name="_Hlk127283574"/>
            <w:r w:rsidRPr="0019105B">
              <w:rPr>
                <w:rFonts w:ascii="Calibri" w:eastAsia="Times New Roman" w:hAnsi="Calibri" w:cs="Calibri"/>
                <w:b/>
                <w:bCs/>
                <w:color w:val="000000"/>
                <w:lang w:eastAsia="en-GB"/>
              </w:rPr>
              <w:t>Safety pen needles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F54DC0"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Price</w:t>
            </w:r>
          </w:p>
        </w:tc>
      </w:tr>
      <w:tr w:rsidR="00021006" w:rsidRPr="00851E11" w14:paraId="3E23D83F"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68C66ECB" w14:textId="043464B6" w:rsidR="00021006" w:rsidRPr="00851E11" w:rsidRDefault="00021006" w:rsidP="00624567">
            <w:pPr>
              <w:spacing w:after="0" w:line="240" w:lineRule="auto"/>
              <w:rPr>
                <w:rFonts w:ascii="Calibri" w:eastAsia="Times New Roman" w:hAnsi="Calibri" w:cs="Calibri"/>
                <w:color w:val="000000"/>
                <w:lang w:eastAsia="en-GB"/>
              </w:rPr>
            </w:pPr>
            <w:r w:rsidRPr="00021006">
              <w:rPr>
                <w:rFonts w:ascii="Calibri" w:eastAsia="Times New Roman" w:hAnsi="Calibri" w:cs="Calibri"/>
                <w:color w:val="000000"/>
                <w:lang w:eastAsia="en-GB"/>
              </w:rPr>
              <w:t>Apollo Pro-Shield Safety Pen Needles</w:t>
            </w:r>
            <w:r>
              <w:rPr>
                <w:rFonts w:ascii="Calibri" w:eastAsia="Times New Roman" w:hAnsi="Calibri" w:cs="Calibri"/>
                <w:color w:val="000000"/>
                <w:lang w:eastAsia="en-GB"/>
              </w:rPr>
              <w:t xml:space="preserve">  (OUT OF STOCK ON WEBSITE??)</w:t>
            </w:r>
          </w:p>
        </w:tc>
        <w:tc>
          <w:tcPr>
            <w:tcW w:w="1418" w:type="dxa"/>
            <w:tcBorders>
              <w:top w:val="nil"/>
              <w:left w:val="nil"/>
              <w:bottom w:val="single" w:sz="4" w:space="0" w:color="auto"/>
              <w:right w:val="single" w:sz="4" w:space="0" w:color="auto"/>
            </w:tcBorders>
            <w:shd w:val="clear" w:color="auto" w:fill="auto"/>
            <w:noWrap/>
            <w:vAlign w:val="center"/>
          </w:tcPr>
          <w:p w14:paraId="1F954FD1" w14:textId="09A43116" w:rsidR="00021006" w:rsidRPr="00851E11" w:rsidRDefault="00021006" w:rsidP="0062456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£9.95</w:t>
            </w:r>
          </w:p>
        </w:tc>
      </w:tr>
      <w:tr w:rsidR="00624567" w:rsidRPr="00851E11" w14:paraId="24185415"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36F3B3BB" w14:textId="77777777" w:rsidR="00624567" w:rsidRPr="00851E11" w:rsidRDefault="00624567" w:rsidP="00624567">
            <w:pPr>
              <w:spacing w:after="0" w:line="240" w:lineRule="auto"/>
              <w:rPr>
                <w:rFonts w:ascii="Calibri" w:eastAsia="Times New Roman" w:hAnsi="Calibri" w:cs="Calibri"/>
                <w:color w:val="000000"/>
                <w:lang w:eastAsia="en-GB"/>
              </w:rPr>
            </w:pPr>
            <w:r w:rsidRPr="00851E11">
              <w:rPr>
                <w:rFonts w:ascii="Calibri" w:eastAsia="Times New Roman" w:hAnsi="Calibri" w:cs="Calibri"/>
                <w:color w:val="000000"/>
                <w:lang w:eastAsia="en-GB"/>
              </w:rPr>
              <w:t xml:space="preserve">Microdot Max Safety Pen Needles 5mm/30 gauge </w:t>
            </w:r>
          </w:p>
        </w:tc>
        <w:tc>
          <w:tcPr>
            <w:tcW w:w="1418" w:type="dxa"/>
            <w:tcBorders>
              <w:top w:val="nil"/>
              <w:left w:val="nil"/>
              <w:bottom w:val="single" w:sz="4" w:space="0" w:color="auto"/>
              <w:right w:val="single" w:sz="4" w:space="0" w:color="auto"/>
            </w:tcBorders>
            <w:shd w:val="clear" w:color="auto" w:fill="auto"/>
            <w:noWrap/>
            <w:vAlign w:val="center"/>
            <w:hideMark/>
          </w:tcPr>
          <w:p w14:paraId="3E42CF52"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£12.89</w:t>
            </w:r>
          </w:p>
        </w:tc>
      </w:tr>
      <w:tr w:rsidR="00624567" w:rsidRPr="00851E11" w14:paraId="10E50DDB"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545E748E" w14:textId="742D6658" w:rsidR="00624567" w:rsidRPr="00851E11" w:rsidRDefault="00624567" w:rsidP="00624567">
            <w:pPr>
              <w:spacing w:after="0" w:line="240" w:lineRule="auto"/>
              <w:rPr>
                <w:rFonts w:ascii="Calibri" w:eastAsia="Times New Roman" w:hAnsi="Calibri" w:cs="Calibri"/>
                <w:color w:val="000000"/>
                <w:lang w:eastAsia="en-GB"/>
              </w:rPr>
            </w:pPr>
            <w:r w:rsidRPr="00851E11">
              <w:rPr>
                <w:rFonts w:ascii="Calibri" w:eastAsia="Times New Roman" w:hAnsi="Calibri" w:cs="Calibri"/>
                <w:color w:val="000000"/>
                <w:lang w:eastAsia="en-GB"/>
              </w:rPr>
              <w:t xml:space="preserve">GlucoRx Safety Pen Needles 5mm/30 gauge </w:t>
            </w:r>
            <w:r w:rsidR="00021006">
              <w:rPr>
                <w:rFonts w:ascii="Calibri" w:eastAsia="Times New Roman" w:hAnsi="Calibri" w:cs="Calibri"/>
                <w:color w:val="000000"/>
                <w:lang w:eastAsia="en-GB"/>
              </w:rPr>
              <w:t>;</w:t>
            </w:r>
            <w:r w:rsidRPr="00851E11">
              <w:rPr>
                <w:rFonts w:ascii="Calibri" w:eastAsia="Times New Roman" w:hAnsi="Calibri" w:cs="Calibri"/>
                <w:color w:val="000000"/>
                <w:lang w:eastAsia="en-GB"/>
              </w:rPr>
              <w:t xml:space="preserve"> 8mm/30 gauge </w:t>
            </w:r>
          </w:p>
        </w:tc>
        <w:tc>
          <w:tcPr>
            <w:tcW w:w="1418" w:type="dxa"/>
            <w:tcBorders>
              <w:top w:val="nil"/>
              <w:left w:val="nil"/>
              <w:bottom w:val="single" w:sz="4" w:space="0" w:color="auto"/>
              <w:right w:val="single" w:sz="4" w:space="0" w:color="auto"/>
            </w:tcBorders>
            <w:shd w:val="clear" w:color="auto" w:fill="auto"/>
            <w:noWrap/>
            <w:vAlign w:val="center"/>
            <w:hideMark/>
          </w:tcPr>
          <w:p w14:paraId="46AA5E00"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£12.95</w:t>
            </w:r>
          </w:p>
        </w:tc>
      </w:tr>
      <w:tr w:rsidR="00624567" w:rsidRPr="00851E11" w14:paraId="6D79C8B7"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3E513498" w14:textId="77777777" w:rsidR="00624567" w:rsidRPr="00851E11" w:rsidRDefault="00624567" w:rsidP="00624567">
            <w:pPr>
              <w:spacing w:after="0" w:line="240" w:lineRule="auto"/>
              <w:rPr>
                <w:rFonts w:ascii="Calibri" w:eastAsia="Times New Roman" w:hAnsi="Calibri" w:cs="Calibri"/>
                <w:color w:val="000000"/>
                <w:lang w:eastAsia="en-GB"/>
              </w:rPr>
            </w:pPr>
            <w:r w:rsidRPr="00851E11">
              <w:rPr>
                <w:rFonts w:ascii="Calibri" w:eastAsia="Times New Roman" w:hAnsi="Calibri" w:cs="Calibri"/>
                <w:color w:val="000000"/>
                <w:lang w:eastAsia="en-GB"/>
              </w:rPr>
              <w:t xml:space="preserve">Neon Verifine Safety 5mm/31 gauge, 8mm/30 gauge </w:t>
            </w:r>
          </w:p>
        </w:tc>
        <w:tc>
          <w:tcPr>
            <w:tcW w:w="1418" w:type="dxa"/>
            <w:tcBorders>
              <w:top w:val="nil"/>
              <w:left w:val="nil"/>
              <w:bottom w:val="single" w:sz="4" w:space="0" w:color="auto"/>
              <w:right w:val="single" w:sz="4" w:space="0" w:color="auto"/>
            </w:tcBorders>
            <w:shd w:val="clear" w:color="auto" w:fill="auto"/>
            <w:noWrap/>
            <w:vAlign w:val="center"/>
            <w:hideMark/>
          </w:tcPr>
          <w:p w14:paraId="4C5B813C"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£14.89</w:t>
            </w:r>
          </w:p>
        </w:tc>
      </w:tr>
      <w:tr w:rsidR="00624567" w:rsidRPr="00851E11" w14:paraId="08EFD0F2"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4160039" w14:textId="77777777" w:rsidR="00624567" w:rsidRPr="00851E11" w:rsidRDefault="00624567" w:rsidP="00624567">
            <w:pPr>
              <w:spacing w:after="0" w:line="240" w:lineRule="auto"/>
              <w:rPr>
                <w:rFonts w:ascii="Calibri" w:eastAsia="Times New Roman" w:hAnsi="Calibri" w:cs="Calibri"/>
                <w:color w:val="000000"/>
                <w:lang w:eastAsia="en-GB"/>
              </w:rPr>
            </w:pPr>
            <w:r w:rsidRPr="00851E11">
              <w:rPr>
                <w:rFonts w:ascii="Calibri" w:eastAsia="Times New Roman" w:hAnsi="Calibri" w:cs="Calibri"/>
                <w:color w:val="000000"/>
                <w:lang w:eastAsia="en-GB"/>
              </w:rPr>
              <w:t xml:space="preserve">Microdot Safety Pen Needles 5mm/30 gauge </w:t>
            </w:r>
          </w:p>
        </w:tc>
        <w:tc>
          <w:tcPr>
            <w:tcW w:w="1418" w:type="dxa"/>
            <w:tcBorders>
              <w:top w:val="nil"/>
              <w:left w:val="nil"/>
              <w:bottom w:val="single" w:sz="4" w:space="0" w:color="auto"/>
              <w:right w:val="single" w:sz="4" w:space="0" w:color="auto"/>
            </w:tcBorders>
            <w:shd w:val="clear" w:color="auto" w:fill="auto"/>
            <w:noWrap/>
            <w:vAlign w:val="center"/>
            <w:hideMark/>
          </w:tcPr>
          <w:p w14:paraId="0B1392B5"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£17.00</w:t>
            </w:r>
          </w:p>
        </w:tc>
      </w:tr>
      <w:tr w:rsidR="00624567" w:rsidRPr="00851E11" w14:paraId="66704492"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732F8750" w14:textId="77777777" w:rsidR="00624567" w:rsidRPr="00851E11" w:rsidRDefault="00624567" w:rsidP="00624567">
            <w:pPr>
              <w:spacing w:after="0" w:line="240" w:lineRule="auto"/>
              <w:rPr>
                <w:rFonts w:ascii="Calibri" w:eastAsia="Times New Roman" w:hAnsi="Calibri" w:cs="Calibri"/>
                <w:color w:val="000000"/>
                <w:lang w:eastAsia="en-GB"/>
              </w:rPr>
            </w:pPr>
            <w:r w:rsidRPr="00851E11">
              <w:rPr>
                <w:rFonts w:ascii="Calibri" w:eastAsia="Times New Roman" w:hAnsi="Calibri" w:cs="Calibri"/>
                <w:color w:val="000000"/>
                <w:lang w:eastAsia="en-GB"/>
              </w:rPr>
              <w:t xml:space="preserve">Mylife Clickfine AutoProtect 5mm/31 gauge , 8mm/29 gauge </w:t>
            </w:r>
          </w:p>
        </w:tc>
        <w:tc>
          <w:tcPr>
            <w:tcW w:w="1418" w:type="dxa"/>
            <w:tcBorders>
              <w:top w:val="nil"/>
              <w:left w:val="nil"/>
              <w:bottom w:val="single" w:sz="4" w:space="0" w:color="auto"/>
              <w:right w:val="single" w:sz="4" w:space="0" w:color="auto"/>
            </w:tcBorders>
            <w:shd w:val="clear" w:color="auto" w:fill="auto"/>
            <w:noWrap/>
            <w:vAlign w:val="center"/>
            <w:hideMark/>
          </w:tcPr>
          <w:p w14:paraId="0166F922"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£19.00</w:t>
            </w:r>
          </w:p>
        </w:tc>
      </w:tr>
      <w:tr w:rsidR="00021006" w:rsidRPr="00851E11" w14:paraId="75879807"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5B327879" w14:textId="69291AFB" w:rsidR="00021006" w:rsidRPr="00851E11" w:rsidRDefault="00021006" w:rsidP="00624567">
            <w:pPr>
              <w:spacing w:after="0" w:line="240" w:lineRule="auto"/>
              <w:rPr>
                <w:rFonts w:ascii="Calibri" w:eastAsia="Times New Roman" w:hAnsi="Calibri" w:cs="Calibri"/>
                <w:color w:val="000000"/>
                <w:lang w:eastAsia="en-GB"/>
              </w:rPr>
            </w:pPr>
            <w:r w:rsidRPr="00021006">
              <w:rPr>
                <w:rFonts w:ascii="Calibri" w:eastAsia="Times New Roman" w:hAnsi="Calibri" w:cs="Calibri"/>
                <w:color w:val="000000"/>
                <w:lang w:eastAsia="en-GB"/>
              </w:rPr>
              <w:t>GlucoRx Dual-Safe Pen Needles</w:t>
            </w:r>
            <w:r>
              <w:rPr>
                <w:rFonts w:ascii="Calibri" w:eastAsia="Times New Roman" w:hAnsi="Calibri" w:cs="Calibri"/>
                <w:color w:val="000000"/>
                <w:lang w:eastAsia="en-GB"/>
              </w:rPr>
              <w:t xml:space="preserve"> </w:t>
            </w:r>
            <w:r w:rsidRPr="00021006">
              <w:rPr>
                <w:rFonts w:ascii="Calibri" w:eastAsia="Times New Roman" w:hAnsi="Calibri" w:cs="Calibri"/>
                <w:color w:val="000000"/>
                <w:lang w:eastAsia="en-GB"/>
              </w:rPr>
              <w:t>5mm/3</w:t>
            </w:r>
            <w:r>
              <w:rPr>
                <w:rFonts w:ascii="Calibri" w:eastAsia="Times New Roman" w:hAnsi="Calibri" w:cs="Calibri"/>
                <w:color w:val="000000"/>
                <w:lang w:eastAsia="en-GB"/>
              </w:rPr>
              <w:t>1</w:t>
            </w:r>
            <w:r w:rsidRPr="00021006">
              <w:rPr>
                <w:rFonts w:ascii="Calibri" w:eastAsia="Times New Roman" w:hAnsi="Calibri" w:cs="Calibri"/>
                <w:color w:val="000000"/>
                <w:lang w:eastAsia="en-GB"/>
              </w:rPr>
              <w:t xml:space="preserve"> gauge</w:t>
            </w:r>
          </w:p>
        </w:tc>
        <w:tc>
          <w:tcPr>
            <w:tcW w:w="1418" w:type="dxa"/>
            <w:tcBorders>
              <w:top w:val="nil"/>
              <w:left w:val="nil"/>
              <w:bottom w:val="single" w:sz="4" w:space="0" w:color="auto"/>
              <w:right w:val="single" w:sz="4" w:space="0" w:color="auto"/>
            </w:tcBorders>
            <w:shd w:val="clear" w:color="auto" w:fill="auto"/>
            <w:noWrap/>
            <w:vAlign w:val="center"/>
          </w:tcPr>
          <w:p w14:paraId="3A449EA9" w14:textId="062E3384" w:rsidR="00021006" w:rsidRPr="00851E11" w:rsidRDefault="00021006" w:rsidP="0062456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£19.95</w:t>
            </w:r>
          </w:p>
        </w:tc>
      </w:tr>
      <w:tr w:rsidR="00624567" w:rsidRPr="00851E11" w14:paraId="7FC7DC20"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040DE180" w14:textId="77777777" w:rsidR="00624567" w:rsidRPr="00851E11" w:rsidRDefault="00624567" w:rsidP="00624567">
            <w:pPr>
              <w:spacing w:after="0" w:line="240" w:lineRule="auto"/>
              <w:rPr>
                <w:rFonts w:ascii="Calibri" w:eastAsia="Times New Roman" w:hAnsi="Calibri" w:cs="Calibri"/>
                <w:color w:val="000000"/>
                <w:lang w:eastAsia="en-GB"/>
              </w:rPr>
            </w:pPr>
            <w:r w:rsidRPr="00851E11">
              <w:rPr>
                <w:rFonts w:ascii="Calibri" w:eastAsia="Times New Roman" w:hAnsi="Calibri" w:cs="Calibri"/>
                <w:color w:val="000000"/>
                <w:lang w:eastAsia="en-GB"/>
              </w:rPr>
              <w:t xml:space="preserve">NovoFine Autocover 8mm/30 gauge </w:t>
            </w:r>
          </w:p>
        </w:tc>
        <w:tc>
          <w:tcPr>
            <w:tcW w:w="1418" w:type="dxa"/>
            <w:tcBorders>
              <w:top w:val="nil"/>
              <w:left w:val="nil"/>
              <w:bottom w:val="single" w:sz="4" w:space="0" w:color="auto"/>
              <w:right w:val="single" w:sz="4" w:space="0" w:color="auto"/>
            </w:tcBorders>
            <w:shd w:val="clear" w:color="auto" w:fill="auto"/>
            <w:noWrap/>
            <w:vAlign w:val="center"/>
            <w:hideMark/>
          </w:tcPr>
          <w:p w14:paraId="2390A99E"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£22.28</w:t>
            </w:r>
          </w:p>
        </w:tc>
      </w:tr>
      <w:tr w:rsidR="00624567" w:rsidRPr="00851E11" w14:paraId="52D70511"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3154ADA3" w14:textId="77777777" w:rsidR="00624567" w:rsidRPr="00851E11" w:rsidRDefault="00624567" w:rsidP="00624567">
            <w:pPr>
              <w:spacing w:after="0" w:line="240" w:lineRule="auto"/>
              <w:rPr>
                <w:rFonts w:ascii="Calibri" w:eastAsia="Times New Roman" w:hAnsi="Calibri" w:cs="Calibri"/>
                <w:color w:val="000000"/>
                <w:lang w:eastAsia="en-GB"/>
              </w:rPr>
            </w:pPr>
            <w:r w:rsidRPr="00851E11">
              <w:rPr>
                <w:rFonts w:ascii="Calibri" w:eastAsia="Times New Roman" w:hAnsi="Calibri" w:cs="Calibri"/>
                <w:color w:val="000000"/>
                <w:lang w:eastAsia="en-GB"/>
              </w:rPr>
              <w:t>Microdot Dual Safety Pen Needles 4mm/31 gauge</w:t>
            </w:r>
          </w:p>
        </w:tc>
        <w:tc>
          <w:tcPr>
            <w:tcW w:w="1418" w:type="dxa"/>
            <w:tcBorders>
              <w:top w:val="nil"/>
              <w:left w:val="nil"/>
              <w:bottom w:val="single" w:sz="4" w:space="0" w:color="auto"/>
              <w:right w:val="single" w:sz="4" w:space="0" w:color="auto"/>
            </w:tcBorders>
            <w:shd w:val="clear" w:color="auto" w:fill="auto"/>
            <w:noWrap/>
            <w:vAlign w:val="center"/>
            <w:hideMark/>
          </w:tcPr>
          <w:p w14:paraId="1896235A"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£22.95</w:t>
            </w:r>
          </w:p>
        </w:tc>
      </w:tr>
      <w:tr w:rsidR="00624567" w:rsidRPr="00851E11" w14:paraId="162F205E" w14:textId="77777777" w:rsidTr="0062456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1DEA410F" w14:textId="77777777" w:rsidR="00624567" w:rsidRPr="00851E11" w:rsidRDefault="00624567" w:rsidP="00624567">
            <w:pPr>
              <w:spacing w:after="0" w:line="240" w:lineRule="auto"/>
              <w:rPr>
                <w:rFonts w:ascii="Calibri" w:eastAsia="Times New Roman" w:hAnsi="Calibri" w:cs="Calibri"/>
                <w:color w:val="000000"/>
                <w:lang w:eastAsia="en-GB"/>
              </w:rPr>
            </w:pPr>
            <w:r w:rsidRPr="00851E11">
              <w:rPr>
                <w:rFonts w:ascii="Calibri" w:eastAsia="Times New Roman" w:hAnsi="Calibri" w:cs="Calibri"/>
                <w:color w:val="000000"/>
                <w:lang w:eastAsia="en-GB"/>
              </w:rPr>
              <w:t xml:space="preserve">Dropsafe Safety Pen Needles 6mm/31 gauge , 8mm/31 gauge </w:t>
            </w:r>
          </w:p>
        </w:tc>
        <w:tc>
          <w:tcPr>
            <w:tcW w:w="1418" w:type="dxa"/>
            <w:tcBorders>
              <w:top w:val="nil"/>
              <w:left w:val="nil"/>
              <w:bottom w:val="single" w:sz="4" w:space="0" w:color="auto"/>
              <w:right w:val="single" w:sz="4" w:space="0" w:color="auto"/>
            </w:tcBorders>
            <w:shd w:val="clear" w:color="auto" w:fill="auto"/>
            <w:noWrap/>
            <w:vAlign w:val="center"/>
            <w:hideMark/>
          </w:tcPr>
          <w:p w14:paraId="3ECE94CC" w14:textId="77777777" w:rsidR="00624567" w:rsidRPr="00851E11" w:rsidRDefault="00624567" w:rsidP="0062456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£23.00</w:t>
            </w:r>
          </w:p>
        </w:tc>
      </w:tr>
      <w:tr w:rsidR="00021006" w:rsidRPr="00851E11" w14:paraId="707DF240" w14:textId="77777777" w:rsidTr="00624567">
        <w:trPr>
          <w:trHeight w:val="300"/>
        </w:trPr>
        <w:tc>
          <w:tcPr>
            <w:tcW w:w="8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F63ED" w14:textId="0A73CC64" w:rsidR="00021006" w:rsidRDefault="00021006" w:rsidP="0002100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Unifine</w:t>
            </w:r>
            <w:r w:rsidRPr="00851E11">
              <w:rPr>
                <w:rFonts w:ascii="Calibri" w:eastAsia="Times New Roman" w:hAnsi="Calibri" w:cs="Calibri"/>
                <w:color w:val="000000"/>
                <w:lang w:eastAsia="en-GB"/>
              </w:rPr>
              <w:t xml:space="preserve"> SafeControl Safety Pen Needles 4mm/32 gauge 2500 5mm/30 gauge 2200 8mm/30 gauge </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73968FF" w14:textId="1774C477" w:rsidR="00021006" w:rsidRDefault="00021006" w:rsidP="00021006">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£2</w:t>
            </w:r>
            <w:r>
              <w:rPr>
                <w:rFonts w:ascii="Calibri" w:eastAsia="Times New Roman" w:hAnsi="Calibri" w:cs="Calibri"/>
                <w:color w:val="000000"/>
                <w:lang w:eastAsia="en-GB"/>
              </w:rPr>
              <w:t>5</w:t>
            </w:r>
            <w:r w:rsidRPr="00851E11">
              <w:rPr>
                <w:rFonts w:ascii="Calibri" w:eastAsia="Times New Roman" w:hAnsi="Calibri" w:cs="Calibri"/>
                <w:color w:val="000000"/>
                <w:lang w:eastAsia="en-GB"/>
              </w:rPr>
              <w:t>.00</w:t>
            </w:r>
          </w:p>
        </w:tc>
      </w:tr>
      <w:tr w:rsidR="00021006" w:rsidRPr="00851E11" w14:paraId="44DD1BB5" w14:textId="77777777" w:rsidTr="00624567">
        <w:trPr>
          <w:trHeight w:val="300"/>
        </w:trPr>
        <w:tc>
          <w:tcPr>
            <w:tcW w:w="8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1A456" w14:textId="5A8026A3" w:rsidR="00021006" w:rsidRPr="00851E11" w:rsidRDefault="00021006" w:rsidP="0002100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BD Autoshield Duo</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F5A4384" w14:textId="118635CC" w:rsidR="00021006" w:rsidRPr="00851E11" w:rsidRDefault="00021006" w:rsidP="0002100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£25.00</w:t>
            </w:r>
          </w:p>
        </w:tc>
      </w:tr>
    </w:tbl>
    <w:bookmarkEnd w:id="2"/>
    <w:p w14:paraId="09A69065" w14:textId="065C18EB" w:rsidR="00AD6434" w:rsidRDefault="00E76FEB" w:rsidP="00851E11">
      <w:pPr>
        <w:rPr>
          <w:rFonts w:ascii="Arial" w:hAnsi="Arial" w:cs="Arial"/>
          <w:b/>
        </w:rPr>
      </w:pPr>
      <w:r w:rsidRPr="00E76FEB">
        <w:rPr>
          <w:rFonts w:ascii="Arial" w:hAnsi="Arial" w:cs="Arial"/>
          <w:b/>
        </w:rPr>
        <w:t xml:space="preserve">It must be noted that the different needles available offer varying protection- some have dual protection mechanisms whilst others do not. </w:t>
      </w:r>
      <w:r>
        <w:rPr>
          <w:rFonts w:ascii="Arial" w:hAnsi="Arial" w:cs="Arial"/>
          <w:b/>
        </w:rPr>
        <w:t>The</w:t>
      </w:r>
      <w:r w:rsidRPr="00E76FEB">
        <w:rPr>
          <w:rFonts w:ascii="Arial" w:hAnsi="Arial" w:cs="Arial"/>
          <w:b/>
        </w:rPr>
        <w:t xml:space="preserve"> ones with dual protection are more expensive.</w:t>
      </w:r>
    </w:p>
    <w:tbl>
      <w:tblPr>
        <w:tblpPr w:leftFromText="180" w:rightFromText="180" w:vertAnchor="text" w:horzAnchor="margin" w:tblpXSpec="center" w:tblpY="-33"/>
        <w:tblW w:w="9918" w:type="dxa"/>
        <w:tblLook w:val="04A0" w:firstRow="1" w:lastRow="0" w:firstColumn="1" w:lastColumn="0" w:noHBand="0" w:noVBand="1"/>
      </w:tblPr>
      <w:tblGrid>
        <w:gridCol w:w="8500"/>
        <w:gridCol w:w="1418"/>
      </w:tblGrid>
      <w:tr w:rsidR="0012232D" w:rsidRPr="00851E11" w14:paraId="064D59D6" w14:textId="77777777" w:rsidTr="0054212B">
        <w:trPr>
          <w:trHeight w:val="300"/>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5BD6FA7" w14:textId="7AEF58CA" w:rsidR="0012232D" w:rsidRPr="0019105B" w:rsidRDefault="0012232D" w:rsidP="0054212B">
            <w:pPr>
              <w:spacing w:after="0" w:line="240" w:lineRule="auto"/>
              <w:rPr>
                <w:rFonts w:ascii="Calibri" w:eastAsia="Times New Roman" w:hAnsi="Calibri" w:cs="Calibri"/>
                <w:b/>
                <w:bCs/>
                <w:color w:val="000000"/>
                <w:lang w:eastAsia="en-GB"/>
              </w:rPr>
            </w:pPr>
            <w:r w:rsidRPr="0019105B">
              <w:rPr>
                <w:rFonts w:ascii="Calibri" w:eastAsia="Times New Roman" w:hAnsi="Calibri" w:cs="Calibri"/>
                <w:b/>
                <w:bCs/>
                <w:color w:val="000000"/>
                <w:lang w:eastAsia="en-GB"/>
              </w:rPr>
              <w:lastRenderedPageBreak/>
              <w:t xml:space="preserve">Safety lancets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713D67" w14:textId="77777777" w:rsidR="0012232D" w:rsidRPr="00851E11" w:rsidRDefault="0012232D" w:rsidP="0054212B">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Price</w:t>
            </w:r>
          </w:p>
        </w:tc>
      </w:tr>
      <w:tr w:rsidR="00B53CD7" w:rsidRPr="00851E11" w14:paraId="082BE4CB" w14:textId="77777777" w:rsidTr="0054212B">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607C09CF" w14:textId="6C4ED3E0" w:rsidR="00B53CD7" w:rsidRPr="0012232D" w:rsidRDefault="00B53CD7" w:rsidP="00B53CD7">
            <w:pPr>
              <w:rPr>
                <w:rFonts w:cstheme="minorHAnsi"/>
              </w:rPr>
            </w:pPr>
            <w:r w:rsidRPr="004E076B">
              <w:rPr>
                <w:rFonts w:ascii="Calibri" w:eastAsia="Times New Roman" w:hAnsi="Calibri" w:cs="Calibri"/>
                <w:color w:val="000000"/>
                <w:lang w:eastAsia="en-GB"/>
              </w:rPr>
              <w:t>Neon Verifine Safety Lancets</w:t>
            </w:r>
            <w:r w:rsidR="00E76FEB">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4E076B">
              <w:rPr>
                <w:rFonts w:ascii="Calibri" w:eastAsia="Times New Roman" w:hAnsi="Calibri" w:cs="Calibri"/>
                <w:color w:val="000000"/>
                <w:lang w:eastAsia="en-GB"/>
              </w:rPr>
              <w:t>1.8mm/23 gauge</w:t>
            </w:r>
            <w:r>
              <w:rPr>
                <w:rFonts w:ascii="Calibri" w:eastAsia="Times New Roman" w:hAnsi="Calibri" w:cs="Calibri"/>
                <w:color w:val="000000"/>
                <w:lang w:eastAsia="en-GB"/>
              </w:rPr>
              <w:t xml:space="preserve">, </w:t>
            </w:r>
            <w:r w:rsidRPr="004E076B">
              <w:rPr>
                <w:rFonts w:ascii="Calibri" w:eastAsia="Times New Roman" w:hAnsi="Calibri" w:cs="Calibri"/>
                <w:color w:val="000000"/>
                <w:lang w:eastAsia="en-GB"/>
              </w:rPr>
              <w:t>1.8mm/28 gauge</w:t>
            </w:r>
            <w:r>
              <w:rPr>
                <w:rFonts w:ascii="Calibri" w:eastAsia="Times New Roman" w:hAnsi="Calibri" w:cs="Calibri"/>
                <w:color w:val="000000"/>
                <w:lang w:eastAsia="en-GB"/>
              </w:rPr>
              <w:t xml:space="preserve">, </w:t>
            </w:r>
            <w:r w:rsidRPr="004E076B">
              <w:rPr>
                <w:rFonts w:ascii="Calibri" w:eastAsia="Times New Roman" w:hAnsi="Calibri" w:cs="Calibri"/>
                <w:color w:val="000000"/>
                <w:lang w:eastAsia="en-GB"/>
              </w:rPr>
              <w:t>1.8mm/30 gauge</w:t>
            </w:r>
            <w:r>
              <w:rPr>
                <w:rFonts w:ascii="Calibri" w:eastAsia="Times New Roman" w:hAnsi="Calibri" w:cs="Calibri"/>
                <w:color w:val="000000"/>
                <w:lang w:eastAsia="en-GB"/>
              </w:rPr>
              <w:t xml:space="preserve">, </w:t>
            </w:r>
            <w:r w:rsidRPr="004E076B">
              <w:rPr>
                <w:rFonts w:ascii="Calibri" w:eastAsia="Times New Roman" w:hAnsi="Calibri" w:cs="Calibri"/>
                <w:color w:val="000000"/>
                <w:lang w:eastAsia="en-GB"/>
              </w:rPr>
              <w:t>2.4mm/21 gauge</w:t>
            </w:r>
          </w:p>
        </w:tc>
        <w:tc>
          <w:tcPr>
            <w:tcW w:w="1418" w:type="dxa"/>
            <w:tcBorders>
              <w:top w:val="nil"/>
              <w:left w:val="nil"/>
              <w:bottom w:val="single" w:sz="4" w:space="0" w:color="auto"/>
              <w:right w:val="single" w:sz="4" w:space="0" w:color="auto"/>
            </w:tcBorders>
            <w:shd w:val="clear" w:color="auto" w:fill="auto"/>
            <w:noWrap/>
            <w:vAlign w:val="center"/>
          </w:tcPr>
          <w:p w14:paraId="11912457" w14:textId="5688DE23" w:rsidR="00B53CD7" w:rsidRPr="00851E11" w:rsidRDefault="00B53CD7" w:rsidP="00B53CD7">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w:t>
            </w:r>
            <w:r>
              <w:rPr>
                <w:rFonts w:ascii="Calibri" w:eastAsia="Times New Roman" w:hAnsi="Calibri" w:cs="Calibri"/>
                <w:color w:val="000000"/>
                <w:lang w:eastAsia="en-GB"/>
              </w:rPr>
              <w:t>2.99</w:t>
            </w:r>
          </w:p>
        </w:tc>
      </w:tr>
      <w:tr w:rsidR="00B53CD7" w:rsidRPr="00851E11" w14:paraId="6E161E56" w14:textId="77777777" w:rsidTr="0054212B">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14:paraId="16F4E24A" w14:textId="35E6A4D8" w:rsidR="00B53CD7" w:rsidRPr="00851E11" w:rsidRDefault="00B53CD7" w:rsidP="00B53CD7">
            <w:pPr>
              <w:spacing w:after="0" w:line="240" w:lineRule="auto"/>
              <w:rPr>
                <w:rFonts w:ascii="Calibri" w:eastAsia="Times New Roman" w:hAnsi="Calibri" w:cs="Calibri"/>
                <w:color w:val="000000"/>
                <w:lang w:eastAsia="en-GB"/>
              </w:rPr>
            </w:pPr>
            <w:r w:rsidRPr="0012232D">
              <w:rPr>
                <w:rFonts w:ascii="Calibri" w:eastAsia="Times New Roman" w:hAnsi="Calibri" w:cs="Calibri"/>
                <w:color w:val="000000"/>
                <w:lang w:eastAsia="en-GB"/>
              </w:rPr>
              <w:t>Microdot Professional</w:t>
            </w:r>
            <w:r>
              <w:rPr>
                <w:rFonts w:ascii="Calibri" w:eastAsia="Times New Roman" w:hAnsi="Calibri" w:cs="Calibri"/>
                <w:color w:val="000000"/>
                <w:lang w:eastAsia="en-GB"/>
              </w:rPr>
              <w:t xml:space="preserve"> lancets</w:t>
            </w:r>
            <w:r w:rsidR="00E76FEB">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12232D">
              <w:rPr>
                <w:rFonts w:ascii="Calibri" w:eastAsia="Times New Roman" w:hAnsi="Calibri" w:cs="Calibri"/>
                <w:color w:val="000000"/>
                <w:lang w:eastAsia="en-GB"/>
              </w:rPr>
              <w:t>2.2mm/23 gauge</w:t>
            </w:r>
          </w:p>
        </w:tc>
        <w:tc>
          <w:tcPr>
            <w:tcW w:w="1418" w:type="dxa"/>
            <w:tcBorders>
              <w:top w:val="nil"/>
              <w:left w:val="nil"/>
              <w:bottom w:val="single" w:sz="4" w:space="0" w:color="auto"/>
              <w:right w:val="single" w:sz="4" w:space="0" w:color="auto"/>
            </w:tcBorders>
            <w:shd w:val="clear" w:color="auto" w:fill="auto"/>
            <w:noWrap/>
            <w:vAlign w:val="center"/>
            <w:hideMark/>
          </w:tcPr>
          <w:p w14:paraId="4B9A009B" w14:textId="1A690A1E" w:rsidR="00B53CD7" w:rsidRPr="00851E11" w:rsidRDefault="00B53CD7" w:rsidP="00B53CD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£4.25</w:t>
            </w:r>
          </w:p>
        </w:tc>
      </w:tr>
      <w:tr w:rsidR="00E76FEB" w:rsidRPr="00851E11" w14:paraId="557A43CB" w14:textId="77777777" w:rsidTr="0054212B">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32C2E607" w14:textId="77777777" w:rsidR="00E76FEB" w:rsidRPr="0012232D" w:rsidRDefault="00E76FEB" w:rsidP="00B53CD7">
            <w:pPr>
              <w:spacing w:after="0" w:line="240" w:lineRule="auto"/>
              <w:rPr>
                <w:rFonts w:ascii="Calibri" w:eastAsia="Times New Roman" w:hAnsi="Calibri" w:cs="Calibri"/>
                <w:color w:val="000000"/>
                <w:lang w:eastAsia="en-GB"/>
              </w:rPr>
            </w:pPr>
          </w:p>
        </w:tc>
        <w:tc>
          <w:tcPr>
            <w:tcW w:w="1418" w:type="dxa"/>
            <w:tcBorders>
              <w:top w:val="nil"/>
              <w:left w:val="nil"/>
              <w:bottom w:val="single" w:sz="4" w:space="0" w:color="auto"/>
              <w:right w:val="single" w:sz="4" w:space="0" w:color="auto"/>
            </w:tcBorders>
            <w:shd w:val="clear" w:color="auto" w:fill="auto"/>
            <w:noWrap/>
            <w:vAlign w:val="center"/>
          </w:tcPr>
          <w:p w14:paraId="79FF62B2" w14:textId="77777777" w:rsidR="00E76FEB" w:rsidRDefault="00E76FEB" w:rsidP="00B53CD7">
            <w:pPr>
              <w:spacing w:after="0" w:line="240" w:lineRule="auto"/>
              <w:jc w:val="center"/>
              <w:rPr>
                <w:rFonts w:ascii="Calibri" w:eastAsia="Times New Roman" w:hAnsi="Calibri" w:cs="Calibri"/>
                <w:color w:val="000000"/>
                <w:lang w:eastAsia="en-GB"/>
              </w:rPr>
            </w:pPr>
          </w:p>
        </w:tc>
      </w:tr>
      <w:tr w:rsidR="00B53CD7" w:rsidRPr="00851E11" w14:paraId="603BABA9" w14:textId="77777777" w:rsidTr="00B53CD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6196B5E3" w14:textId="4DF7C8FE" w:rsidR="00B53CD7" w:rsidRPr="00851E11" w:rsidRDefault="00B53CD7" w:rsidP="00B53CD7">
            <w:pPr>
              <w:rPr>
                <w:rFonts w:ascii="Calibri" w:eastAsia="Times New Roman" w:hAnsi="Calibri" w:cs="Calibri"/>
                <w:color w:val="000000"/>
                <w:lang w:eastAsia="en-GB"/>
              </w:rPr>
            </w:pPr>
            <w:r w:rsidRPr="00851E11">
              <w:rPr>
                <w:rFonts w:ascii="Calibri" w:eastAsia="Times New Roman" w:hAnsi="Calibri" w:cs="Calibri"/>
                <w:color w:val="000000"/>
                <w:lang w:eastAsia="en-GB"/>
              </w:rPr>
              <w:t xml:space="preserve"> </w:t>
            </w:r>
            <w:r w:rsidRPr="004E076B">
              <w:rPr>
                <w:rFonts w:ascii="Calibri" w:eastAsia="Times New Roman" w:hAnsi="Calibri" w:cs="Calibri"/>
                <w:color w:val="000000"/>
                <w:lang w:eastAsia="en-GB"/>
              </w:rPr>
              <w:t>Safe-T-Lance Plus</w:t>
            </w:r>
            <w:r w:rsidR="00E76FEB">
              <w:rPr>
                <w:rFonts w:ascii="Calibri" w:eastAsia="Times New Roman" w:hAnsi="Calibri" w:cs="Calibri"/>
                <w:color w:val="000000"/>
                <w:lang w:eastAsia="en-GB"/>
              </w:rPr>
              <w:t>:</w:t>
            </w:r>
            <w:r w:rsidRPr="004E076B">
              <w:rPr>
                <w:rFonts w:ascii="Calibri" w:eastAsia="Times New Roman" w:hAnsi="Calibri" w:cs="Calibri"/>
                <w:color w:val="000000"/>
                <w:lang w:eastAsia="en-GB"/>
              </w:rPr>
              <w:t xml:space="preserve"> 1.4mm/25 gauge, 1.6mm/28 gauge</w:t>
            </w:r>
            <w:r>
              <w:rPr>
                <w:rFonts w:ascii="Calibri" w:eastAsia="Times New Roman" w:hAnsi="Calibri" w:cs="Calibri"/>
                <w:color w:val="000000"/>
                <w:lang w:eastAsia="en-GB"/>
              </w:rPr>
              <w:t>,</w:t>
            </w:r>
            <w:r w:rsidRPr="004E076B">
              <w:rPr>
                <w:rFonts w:ascii="Calibri" w:eastAsia="Times New Roman" w:hAnsi="Calibri" w:cs="Calibri"/>
                <w:color w:val="000000"/>
                <w:lang w:eastAsia="en-GB"/>
              </w:rPr>
              <w:t xml:space="preserve"> 1.8mm/18 gauge</w:t>
            </w:r>
            <w:r>
              <w:rPr>
                <w:rFonts w:ascii="Calibri" w:eastAsia="Times New Roman" w:hAnsi="Calibri" w:cs="Calibri"/>
                <w:color w:val="000000"/>
                <w:lang w:eastAsia="en-GB"/>
              </w:rPr>
              <w:t>,</w:t>
            </w:r>
            <w:r w:rsidRPr="004E076B">
              <w:rPr>
                <w:rFonts w:ascii="Calibri" w:eastAsia="Times New Roman" w:hAnsi="Calibri" w:cs="Calibri"/>
                <w:color w:val="000000"/>
                <w:lang w:eastAsia="en-GB"/>
              </w:rPr>
              <w:t xml:space="preserve"> </w:t>
            </w:r>
            <w:r>
              <w:rPr>
                <w:rFonts w:ascii="Calibri" w:eastAsia="Times New Roman" w:hAnsi="Calibri" w:cs="Calibri"/>
                <w:color w:val="000000"/>
                <w:lang w:eastAsia="en-GB"/>
              </w:rPr>
              <w:t>1.</w:t>
            </w:r>
            <w:r w:rsidRPr="004E076B">
              <w:rPr>
                <w:rFonts w:ascii="Calibri" w:eastAsia="Times New Roman" w:hAnsi="Calibri" w:cs="Calibri"/>
                <w:color w:val="000000"/>
                <w:lang w:eastAsia="en-GB"/>
              </w:rPr>
              <w:t xml:space="preserve">8mm/21 gauge </w:t>
            </w:r>
          </w:p>
        </w:tc>
        <w:tc>
          <w:tcPr>
            <w:tcW w:w="1418" w:type="dxa"/>
            <w:tcBorders>
              <w:top w:val="nil"/>
              <w:left w:val="nil"/>
              <w:bottom w:val="single" w:sz="4" w:space="0" w:color="auto"/>
              <w:right w:val="single" w:sz="4" w:space="0" w:color="auto"/>
            </w:tcBorders>
            <w:shd w:val="clear" w:color="auto" w:fill="auto"/>
            <w:noWrap/>
            <w:vAlign w:val="center"/>
          </w:tcPr>
          <w:p w14:paraId="6DCCADFD" w14:textId="05BA1EC4" w:rsidR="00B53CD7" w:rsidRPr="00851E11" w:rsidRDefault="00B53CD7" w:rsidP="00B53CD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£4.41</w:t>
            </w:r>
          </w:p>
        </w:tc>
      </w:tr>
      <w:tr w:rsidR="008E075F" w:rsidRPr="00851E11" w14:paraId="68EC77A1" w14:textId="77777777" w:rsidTr="0054212B">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6C3549D5" w14:textId="3CC97BEB" w:rsidR="008E075F" w:rsidRPr="00851E11" w:rsidRDefault="008E075F" w:rsidP="008E075F">
            <w:pPr>
              <w:spacing w:after="0" w:line="240" w:lineRule="auto"/>
              <w:rPr>
                <w:rFonts w:ascii="Calibri" w:eastAsia="Times New Roman" w:hAnsi="Calibri" w:cs="Calibri"/>
                <w:color w:val="000000"/>
                <w:lang w:eastAsia="en-GB"/>
              </w:rPr>
            </w:pPr>
            <w:r w:rsidRPr="00B53CD7">
              <w:rPr>
                <w:rFonts w:ascii="Calibri" w:eastAsia="Times New Roman" w:hAnsi="Calibri" w:cs="Calibri"/>
                <w:color w:val="000000"/>
                <w:lang w:eastAsia="en-GB"/>
              </w:rPr>
              <w:t>Sarstedt Safety Lancets</w:t>
            </w:r>
            <w:r>
              <w:rPr>
                <w:rFonts w:ascii="Calibri" w:eastAsia="Times New Roman" w:hAnsi="Calibri" w:cs="Calibri"/>
                <w:color w:val="000000"/>
                <w:lang w:eastAsia="en-GB"/>
              </w:rPr>
              <w:t xml:space="preserve"> </w:t>
            </w:r>
            <w:r w:rsidRPr="00B53CD7">
              <w:rPr>
                <w:rFonts w:ascii="Calibri" w:eastAsia="Times New Roman" w:hAnsi="Calibri" w:cs="Calibri"/>
                <w:color w:val="000000"/>
                <w:lang w:eastAsia="en-GB"/>
              </w:rPr>
              <w:t>1.6mm/28 gauge</w:t>
            </w:r>
            <w:r>
              <w:rPr>
                <w:rFonts w:ascii="Calibri" w:eastAsia="Times New Roman" w:hAnsi="Calibri" w:cs="Calibri"/>
                <w:color w:val="000000"/>
                <w:lang w:eastAsia="en-GB"/>
              </w:rPr>
              <w:t xml:space="preserve">, </w:t>
            </w:r>
            <w:r w:rsidRPr="00B53CD7">
              <w:rPr>
                <w:rFonts w:ascii="Calibri" w:eastAsia="Times New Roman" w:hAnsi="Calibri" w:cs="Calibri"/>
                <w:color w:val="000000"/>
                <w:lang w:eastAsia="en-GB"/>
              </w:rPr>
              <w:t xml:space="preserve">1.8mm//21 gauge </w:t>
            </w:r>
            <w:r>
              <w:rPr>
                <w:rFonts w:ascii="Calibri" w:eastAsia="Times New Roman" w:hAnsi="Calibri" w:cs="Calibri"/>
                <w:color w:val="000000"/>
                <w:lang w:eastAsia="en-GB"/>
              </w:rPr>
              <w:t xml:space="preserve">, </w:t>
            </w:r>
            <w:r w:rsidRPr="00B53CD7">
              <w:rPr>
                <w:rFonts w:ascii="Calibri" w:eastAsia="Times New Roman" w:hAnsi="Calibri" w:cs="Calibri"/>
                <w:color w:val="000000"/>
                <w:lang w:eastAsia="en-GB"/>
              </w:rPr>
              <w:t xml:space="preserve">1.8mm/18 gauge </w:t>
            </w:r>
          </w:p>
        </w:tc>
        <w:tc>
          <w:tcPr>
            <w:tcW w:w="1418" w:type="dxa"/>
            <w:tcBorders>
              <w:top w:val="nil"/>
              <w:left w:val="nil"/>
              <w:bottom w:val="single" w:sz="4" w:space="0" w:color="auto"/>
              <w:right w:val="single" w:sz="4" w:space="0" w:color="auto"/>
            </w:tcBorders>
            <w:shd w:val="clear" w:color="auto" w:fill="auto"/>
            <w:noWrap/>
            <w:vAlign w:val="center"/>
          </w:tcPr>
          <w:p w14:paraId="535E6F9B" w14:textId="18A3B4D3" w:rsidR="008E075F" w:rsidRPr="00851E11" w:rsidRDefault="008E075F" w:rsidP="008E075F">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£5.46</w:t>
            </w:r>
          </w:p>
        </w:tc>
      </w:tr>
      <w:tr w:rsidR="00E76FEB" w:rsidRPr="00851E11" w14:paraId="29ACB368" w14:textId="77777777" w:rsidTr="0054212B">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172ADC10" w14:textId="31636A75" w:rsidR="00E76FEB" w:rsidRPr="00B53CD7" w:rsidRDefault="00E76FEB" w:rsidP="00E76FEB">
            <w:pPr>
              <w:spacing w:after="0" w:line="240" w:lineRule="auto"/>
              <w:rPr>
                <w:rFonts w:ascii="Calibri" w:eastAsia="Times New Roman" w:hAnsi="Calibri" w:cs="Calibri"/>
                <w:color w:val="000000"/>
                <w:lang w:eastAsia="en-GB"/>
              </w:rPr>
            </w:pPr>
            <w:r w:rsidRPr="00E76FEB">
              <w:rPr>
                <w:rFonts w:ascii="Calibri" w:eastAsia="Times New Roman" w:hAnsi="Calibri" w:cs="Calibri"/>
                <w:color w:val="000000"/>
                <w:lang w:eastAsia="en-GB"/>
              </w:rPr>
              <w:t>GlucoRx Safety lancets</w:t>
            </w:r>
            <w:r>
              <w:rPr>
                <w:rFonts w:ascii="Calibri" w:eastAsia="Times New Roman" w:hAnsi="Calibri" w:cs="Calibri"/>
                <w:color w:val="000000"/>
                <w:lang w:eastAsia="en-GB"/>
              </w:rPr>
              <w:t xml:space="preserve">: </w:t>
            </w:r>
            <w:r w:rsidRPr="00E76FEB">
              <w:rPr>
                <w:rFonts w:ascii="Calibri" w:eastAsia="Times New Roman" w:hAnsi="Calibri" w:cs="Calibri"/>
                <w:color w:val="000000"/>
                <w:lang w:eastAsia="en-GB"/>
              </w:rPr>
              <w:t>1.6mm/30 gauge</w:t>
            </w:r>
            <w:r>
              <w:rPr>
                <w:rFonts w:ascii="Calibri" w:eastAsia="Times New Roman" w:hAnsi="Calibri" w:cs="Calibri"/>
                <w:color w:val="000000"/>
                <w:lang w:eastAsia="en-GB"/>
              </w:rPr>
              <w:t xml:space="preserve">, </w:t>
            </w:r>
            <w:r w:rsidRPr="00E76FEB">
              <w:rPr>
                <w:rFonts w:ascii="Calibri" w:eastAsia="Times New Roman" w:hAnsi="Calibri" w:cs="Calibri"/>
                <w:color w:val="000000"/>
                <w:lang w:eastAsia="en-GB"/>
              </w:rPr>
              <w:t>1.8mm/28 gauge</w:t>
            </w:r>
            <w:r>
              <w:rPr>
                <w:rFonts w:ascii="Calibri" w:eastAsia="Times New Roman" w:hAnsi="Calibri" w:cs="Calibri"/>
                <w:color w:val="000000"/>
                <w:lang w:eastAsia="en-GB"/>
              </w:rPr>
              <w:t xml:space="preserve">, </w:t>
            </w:r>
            <w:r w:rsidRPr="00E76FEB">
              <w:rPr>
                <w:rFonts w:ascii="Calibri" w:eastAsia="Times New Roman" w:hAnsi="Calibri" w:cs="Calibri"/>
                <w:color w:val="000000"/>
                <w:lang w:eastAsia="en-GB"/>
              </w:rPr>
              <w:t>1.8mm/26 gauge</w:t>
            </w:r>
            <w:r>
              <w:rPr>
                <w:rFonts w:ascii="Calibri" w:eastAsia="Times New Roman" w:hAnsi="Calibri" w:cs="Calibri"/>
                <w:color w:val="000000"/>
                <w:lang w:eastAsia="en-GB"/>
              </w:rPr>
              <w:t xml:space="preserve">, </w:t>
            </w:r>
            <w:r w:rsidRPr="00E76FEB">
              <w:rPr>
                <w:rFonts w:ascii="Calibri" w:eastAsia="Times New Roman" w:hAnsi="Calibri" w:cs="Calibri"/>
                <w:color w:val="000000"/>
                <w:lang w:eastAsia="en-GB"/>
              </w:rPr>
              <w:t xml:space="preserve">2.2mm/23 gauge </w:t>
            </w:r>
          </w:p>
        </w:tc>
        <w:tc>
          <w:tcPr>
            <w:tcW w:w="1418" w:type="dxa"/>
            <w:tcBorders>
              <w:top w:val="nil"/>
              <w:left w:val="nil"/>
              <w:bottom w:val="single" w:sz="4" w:space="0" w:color="auto"/>
              <w:right w:val="single" w:sz="4" w:space="0" w:color="auto"/>
            </w:tcBorders>
            <w:shd w:val="clear" w:color="auto" w:fill="auto"/>
            <w:noWrap/>
            <w:vAlign w:val="center"/>
          </w:tcPr>
          <w:p w14:paraId="62491B64" w14:textId="26923E20" w:rsidR="00E76FEB" w:rsidRDefault="00E76FEB" w:rsidP="008E075F">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£5.50</w:t>
            </w:r>
          </w:p>
        </w:tc>
      </w:tr>
      <w:tr w:rsidR="008E075F" w:rsidRPr="00851E11" w14:paraId="234B1CF0" w14:textId="77777777" w:rsidTr="00B53CD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20CDE3E7" w14:textId="27231750" w:rsidR="008E075F" w:rsidRPr="00851E11" w:rsidRDefault="008E075F" w:rsidP="008E075F">
            <w:pPr>
              <w:spacing w:after="0" w:line="240" w:lineRule="auto"/>
              <w:rPr>
                <w:rFonts w:ascii="Calibri" w:eastAsia="Times New Roman" w:hAnsi="Calibri" w:cs="Calibri"/>
                <w:color w:val="000000"/>
                <w:lang w:eastAsia="en-GB"/>
              </w:rPr>
            </w:pPr>
            <w:r w:rsidRPr="00B53CD7">
              <w:rPr>
                <w:rFonts w:ascii="Calibri" w:eastAsia="Times New Roman" w:hAnsi="Calibri" w:cs="Calibri"/>
                <w:color w:val="000000"/>
                <w:lang w:eastAsia="en-GB"/>
              </w:rPr>
              <w:t>Sterilance Lite II Safety Lancets</w:t>
            </w:r>
            <w:r w:rsidR="00E76FEB">
              <w:rPr>
                <w:rFonts w:ascii="Calibri" w:eastAsia="Times New Roman" w:hAnsi="Calibri" w:cs="Calibri"/>
                <w:color w:val="000000"/>
                <w:lang w:eastAsia="en-GB"/>
              </w:rPr>
              <w:t>:</w:t>
            </w:r>
            <w:r w:rsidRPr="00B53CD7">
              <w:rPr>
                <w:rFonts w:ascii="Calibri" w:eastAsia="Times New Roman" w:hAnsi="Calibri" w:cs="Calibri"/>
                <w:color w:val="000000"/>
                <w:lang w:eastAsia="en-GB"/>
              </w:rPr>
              <w:t xml:space="preserve"> 1.8mm/18</w:t>
            </w:r>
            <w:r>
              <w:rPr>
                <w:rFonts w:ascii="Calibri" w:eastAsia="Times New Roman" w:hAnsi="Calibri" w:cs="Calibri"/>
                <w:color w:val="000000"/>
                <w:lang w:eastAsia="en-GB"/>
              </w:rPr>
              <w:t>,21,26,28</w:t>
            </w:r>
            <w:r w:rsidRPr="00B53CD7">
              <w:rPr>
                <w:rFonts w:ascii="Calibri" w:eastAsia="Times New Roman" w:hAnsi="Calibri" w:cs="Calibri"/>
                <w:color w:val="000000"/>
                <w:lang w:eastAsia="en-GB"/>
              </w:rPr>
              <w:t xml:space="preserve"> gauge </w:t>
            </w:r>
            <w:r>
              <w:rPr>
                <w:rFonts w:ascii="Calibri" w:eastAsia="Times New Roman" w:hAnsi="Calibri" w:cs="Calibri"/>
                <w:color w:val="000000"/>
                <w:lang w:eastAsia="en-GB"/>
              </w:rPr>
              <w:t xml:space="preserve">, </w:t>
            </w:r>
            <w:r w:rsidRPr="00B53CD7">
              <w:rPr>
                <w:rFonts w:ascii="Calibri" w:eastAsia="Times New Roman" w:hAnsi="Calibri" w:cs="Calibri"/>
                <w:color w:val="000000"/>
                <w:lang w:eastAsia="en-GB"/>
              </w:rPr>
              <w:t xml:space="preserve">2.4mm/21 </w:t>
            </w:r>
            <w:r>
              <w:rPr>
                <w:rFonts w:ascii="Calibri" w:eastAsia="Times New Roman" w:hAnsi="Calibri" w:cs="Calibri"/>
                <w:color w:val="000000"/>
                <w:lang w:eastAsia="en-GB"/>
              </w:rPr>
              <w:t>,</w:t>
            </w:r>
            <w:r w:rsidRPr="00B53CD7">
              <w:rPr>
                <w:rFonts w:ascii="Calibri" w:eastAsia="Times New Roman" w:hAnsi="Calibri" w:cs="Calibri"/>
                <w:color w:val="000000"/>
                <w:lang w:eastAsia="en-GB"/>
              </w:rPr>
              <w:t>26 gauge</w:t>
            </w:r>
          </w:p>
        </w:tc>
        <w:tc>
          <w:tcPr>
            <w:tcW w:w="1418" w:type="dxa"/>
            <w:tcBorders>
              <w:top w:val="nil"/>
              <w:left w:val="nil"/>
              <w:bottom w:val="single" w:sz="4" w:space="0" w:color="auto"/>
              <w:right w:val="single" w:sz="4" w:space="0" w:color="auto"/>
            </w:tcBorders>
            <w:shd w:val="clear" w:color="auto" w:fill="auto"/>
            <w:noWrap/>
            <w:vAlign w:val="center"/>
          </w:tcPr>
          <w:p w14:paraId="15ACDA9B" w14:textId="436433DC" w:rsidR="008E075F" w:rsidRPr="00851E11" w:rsidRDefault="008E075F" w:rsidP="008E075F">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w:t>
            </w:r>
            <w:r>
              <w:rPr>
                <w:rFonts w:ascii="Calibri" w:eastAsia="Times New Roman" w:hAnsi="Calibri" w:cs="Calibri"/>
                <w:color w:val="000000"/>
                <w:lang w:eastAsia="en-GB"/>
              </w:rPr>
              <w:t>5.70</w:t>
            </w:r>
          </w:p>
        </w:tc>
      </w:tr>
      <w:tr w:rsidR="008E075F" w:rsidRPr="00851E11" w14:paraId="58D0FAD2" w14:textId="77777777" w:rsidTr="00B53CD7">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13A1F89C" w14:textId="6990757E" w:rsidR="008E075F" w:rsidRPr="00851E11" w:rsidRDefault="008E075F" w:rsidP="008E075F">
            <w:pPr>
              <w:spacing w:after="0" w:line="240" w:lineRule="auto"/>
              <w:rPr>
                <w:rFonts w:ascii="Calibri" w:eastAsia="Times New Roman" w:hAnsi="Calibri" w:cs="Calibri"/>
                <w:color w:val="000000"/>
                <w:lang w:eastAsia="en-GB"/>
              </w:rPr>
            </w:pPr>
            <w:r w:rsidRPr="0012232D">
              <w:rPr>
                <w:rFonts w:eastAsia="Times New Roman" w:cstheme="minorHAnsi"/>
                <w:color w:val="000000"/>
                <w:lang w:eastAsia="en-GB"/>
              </w:rPr>
              <w:t>Apollo Pressure-Activated Safety Lancets</w:t>
            </w:r>
            <w:r w:rsidR="00E76FEB">
              <w:rPr>
                <w:rFonts w:eastAsia="Times New Roman" w:cstheme="minorHAnsi"/>
                <w:color w:val="000000"/>
                <w:lang w:eastAsia="en-GB"/>
              </w:rPr>
              <w:t xml:space="preserve">: </w:t>
            </w:r>
            <w:r w:rsidRPr="0012232D">
              <w:rPr>
                <w:rFonts w:cstheme="minorHAnsi"/>
              </w:rPr>
              <w:t>1.8mm/26 gauge, 1.8mm/28 gauge, 2.4mm/21 gauge</w:t>
            </w:r>
          </w:p>
        </w:tc>
        <w:tc>
          <w:tcPr>
            <w:tcW w:w="1418" w:type="dxa"/>
            <w:tcBorders>
              <w:top w:val="nil"/>
              <w:left w:val="nil"/>
              <w:bottom w:val="single" w:sz="4" w:space="0" w:color="auto"/>
              <w:right w:val="single" w:sz="4" w:space="0" w:color="auto"/>
            </w:tcBorders>
            <w:shd w:val="clear" w:color="auto" w:fill="auto"/>
            <w:noWrap/>
            <w:vAlign w:val="center"/>
          </w:tcPr>
          <w:p w14:paraId="47CB2ED8" w14:textId="3AAC390C" w:rsidR="008E075F" w:rsidRPr="00851E11" w:rsidRDefault="008E075F" w:rsidP="008E075F">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£5.99</w:t>
            </w:r>
          </w:p>
        </w:tc>
      </w:tr>
      <w:tr w:rsidR="008E075F" w:rsidRPr="00851E11" w14:paraId="1254ED02" w14:textId="77777777" w:rsidTr="0054212B">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643328C6" w14:textId="65F8465A" w:rsidR="008E075F" w:rsidRPr="00851E11" w:rsidRDefault="008E075F" w:rsidP="008E075F">
            <w:pPr>
              <w:spacing w:after="0" w:line="240" w:lineRule="auto"/>
              <w:rPr>
                <w:rFonts w:ascii="Calibri" w:eastAsia="Times New Roman" w:hAnsi="Calibri" w:cs="Calibri"/>
                <w:color w:val="000000"/>
                <w:lang w:eastAsia="en-GB"/>
              </w:rPr>
            </w:pPr>
            <w:r w:rsidRPr="0012232D">
              <w:rPr>
                <w:rFonts w:ascii="Calibri" w:eastAsia="Times New Roman" w:hAnsi="Calibri" w:cs="Calibri"/>
                <w:color w:val="000000"/>
                <w:lang w:eastAsia="en-GB"/>
              </w:rPr>
              <w:t>Mylife Safety Comfort lancets</w:t>
            </w:r>
            <w:r w:rsidR="00E76FEB">
              <w:rPr>
                <w:rFonts w:ascii="Calibri" w:eastAsia="Times New Roman" w:hAnsi="Calibri" w:cs="Calibri"/>
                <w:color w:val="000000"/>
                <w:lang w:eastAsia="en-GB"/>
              </w:rPr>
              <w:t>:</w:t>
            </w:r>
            <w:r>
              <w:rPr>
                <w:rFonts w:ascii="Calibri" w:eastAsia="Times New Roman" w:hAnsi="Calibri" w:cs="Calibri"/>
                <w:color w:val="000000"/>
                <w:lang w:eastAsia="en-GB"/>
              </w:rPr>
              <w:t xml:space="preserve"> 0</w:t>
            </w:r>
            <w:r w:rsidRPr="004E076B">
              <w:rPr>
                <w:rFonts w:ascii="Calibri" w:eastAsia="Times New Roman" w:hAnsi="Calibri" w:cs="Calibri"/>
                <w:color w:val="000000"/>
                <w:lang w:eastAsia="en-GB"/>
              </w:rPr>
              <w:t>.32mm/30 gauge</w:t>
            </w:r>
          </w:p>
        </w:tc>
        <w:tc>
          <w:tcPr>
            <w:tcW w:w="1418" w:type="dxa"/>
            <w:tcBorders>
              <w:top w:val="nil"/>
              <w:left w:val="nil"/>
              <w:bottom w:val="single" w:sz="4" w:space="0" w:color="auto"/>
              <w:right w:val="single" w:sz="4" w:space="0" w:color="auto"/>
            </w:tcBorders>
            <w:shd w:val="clear" w:color="auto" w:fill="auto"/>
            <w:noWrap/>
            <w:vAlign w:val="center"/>
          </w:tcPr>
          <w:p w14:paraId="19B00FA5" w14:textId="3BB8705B" w:rsidR="008E075F" w:rsidRPr="00851E11" w:rsidRDefault="008E075F" w:rsidP="008E075F">
            <w:pPr>
              <w:spacing w:after="0" w:line="240" w:lineRule="auto"/>
              <w:jc w:val="center"/>
              <w:rPr>
                <w:rFonts w:ascii="Calibri" w:eastAsia="Times New Roman" w:hAnsi="Calibri" w:cs="Calibri"/>
                <w:color w:val="000000"/>
                <w:lang w:eastAsia="en-GB"/>
              </w:rPr>
            </w:pPr>
            <w:r w:rsidRPr="00851E11">
              <w:rPr>
                <w:rFonts w:ascii="Calibri" w:eastAsia="Times New Roman" w:hAnsi="Calibri" w:cs="Calibri"/>
                <w:color w:val="000000"/>
                <w:lang w:eastAsia="en-GB"/>
              </w:rPr>
              <w:t>£</w:t>
            </w:r>
            <w:r>
              <w:rPr>
                <w:rFonts w:ascii="Calibri" w:eastAsia="Times New Roman" w:hAnsi="Calibri" w:cs="Calibri"/>
                <w:color w:val="000000"/>
                <w:lang w:eastAsia="en-GB"/>
              </w:rPr>
              <w:t>6.00</w:t>
            </w:r>
          </w:p>
        </w:tc>
      </w:tr>
      <w:tr w:rsidR="008E075F" w:rsidRPr="00851E11" w14:paraId="276ED7C2" w14:textId="77777777" w:rsidTr="0054212B">
        <w:trPr>
          <w:trHeight w:val="300"/>
        </w:trPr>
        <w:tc>
          <w:tcPr>
            <w:tcW w:w="8500" w:type="dxa"/>
            <w:tcBorders>
              <w:top w:val="nil"/>
              <w:left w:val="single" w:sz="4" w:space="0" w:color="auto"/>
              <w:bottom w:val="single" w:sz="4" w:space="0" w:color="auto"/>
              <w:right w:val="single" w:sz="4" w:space="0" w:color="auto"/>
            </w:tcBorders>
            <w:shd w:val="clear" w:color="auto" w:fill="auto"/>
            <w:noWrap/>
            <w:vAlign w:val="bottom"/>
          </w:tcPr>
          <w:p w14:paraId="5F1524D1" w14:textId="00AFD3E6" w:rsidR="008E075F" w:rsidRPr="00851E11" w:rsidRDefault="008E075F" w:rsidP="008E075F">
            <w:pPr>
              <w:spacing w:after="0" w:line="240" w:lineRule="auto"/>
              <w:rPr>
                <w:rFonts w:ascii="Calibri" w:eastAsia="Times New Roman" w:hAnsi="Calibri" w:cs="Calibri"/>
                <w:color w:val="000000"/>
                <w:lang w:eastAsia="en-GB"/>
              </w:rPr>
            </w:pPr>
            <w:r w:rsidRPr="004E076B">
              <w:rPr>
                <w:rFonts w:ascii="Calibri" w:eastAsia="Times New Roman" w:hAnsi="Calibri" w:cs="Calibri"/>
                <w:color w:val="000000"/>
                <w:lang w:eastAsia="en-GB"/>
              </w:rPr>
              <w:t>On Call Safety Lancets</w:t>
            </w:r>
            <w:r w:rsidR="00E76FEB">
              <w:rPr>
                <w:rFonts w:ascii="Calibri" w:eastAsia="Times New Roman" w:hAnsi="Calibri" w:cs="Calibri"/>
                <w:color w:val="000000"/>
                <w:lang w:eastAsia="en-GB"/>
              </w:rPr>
              <w:t>:</w:t>
            </w:r>
            <w:r w:rsidRPr="004E076B">
              <w:rPr>
                <w:rFonts w:ascii="Calibri" w:eastAsia="Times New Roman" w:hAnsi="Calibri" w:cs="Calibri"/>
                <w:color w:val="000000"/>
                <w:lang w:eastAsia="en-GB"/>
              </w:rPr>
              <w:t xml:space="preserve"> I 1.8mm/28gauge </w:t>
            </w:r>
          </w:p>
        </w:tc>
        <w:tc>
          <w:tcPr>
            <w:tcW w:w="1418" w:type="dxa"/>
            <w:tcBorders>
              <w:top w:val="nil"/>
              <w:left w:val="nil"/>
              <w:bottom w:val="single" w:sz="4" w:space="0" w:color="auto"/>
              <w:right w:val="single" w:sz="4" w:space="0" w:color="auto"/>
            </w:tcBorders>
            <w:shd w:val="clear" w:color="auto" w:fill="auto"/>
            <w:noWrap/>
            <w:vAlign w:val="center"/>
          </w:tcPr>
          <w:p w14:paraId="49323D84" w14:textId="0EED3DD2" w:rsidR="008E075F" w:rsidRPr="00851E11" w:rsidRDefault="008E075F" w:rsidP="008E075F">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£6.00</w:t>
            </w:r>
          </w:p>
        </w:tc>
      </w:tr>
    </w:tbl>
    <w:p w14:paraId="77652CC9" w14:textId="77777777" w:rsidR="00E76FEB" w:rsidRDefault="00E76FEB" w:rsidP="00851E11">
      <w:pPr>
        <w:rPr>
          <w:rFonts w:ascii="Arial" w:hAnsi="Arial" w:cs="Arial"/>
          <w:b/>
        </w:rPr>
      </w:pPr>
    </w:p>
    <w:p w14:paraId="7F26CF59" w14:textId="77777777" w:rsidR="00624567" w:rsidRDefault="00624567" w:rsidP="00851E11">
      <w:pPr>
        <w:rPr>
          <w:rFonts w:ascii="Arial" w:hAnsi="Arial" w:cs="Arial"/>
          <w:b/>
        </w:rPr>
        <w:sectPr w:rsidR="00624567" w:rsidSect="00AD60B6">
          <w:headerReference w:type="even" r:id="rId9"/>
          <w:headerReference w:type="default" r:id="rId10"/>
          <w:footerReference w:type="default" r:id="rId11"/>
          <w:headerReference w:type="first" r:id="rId12"/>
          <w:footerReference w:type="first" r:id="rId13"/>
          <w:pgSz w:w="11906" w:h="16838"/>
          <w:pgMar w:top="1701" w:right="1440" w:bottom="1134" w:left="1440" w:header="850" w:footer="397" w:gutter="0"/>
          <w:cols w:space="708"/>
          <w:titlePg/>
          <w:docGrid w:linePitch="360"/>
        </w:sectPr>
      </w:pPr>
    </w:p>
    <w:p w14:paraId="767C22A5" w14:textId="02F182C4" w:rsidR="003B4812" w:rsidRDefault="003B4812" w:rsidP="003B4812">
      <w:pPr>
        <w:jc w:val="center"/>
        <w:rPr>
          <w:rFonts w:ascii="Arial" w:hAnsi="Arial" w:cs="Arial"/>
          <w:b/>
        </w:rPr>
      </w:pPr>
      <w:r>
        <w:rPr>
          <w:rFonts w:ascii="Arial" w:hAnsi="Arial" w:cs="Arial"/>
          <w:b/>
        </w:rPr>
        <w:lastRenderedPageBreak/>
        <w:t xml:space="preserve">Safety pen needles and lancets </w:t>
      </w:r>
      <w:r w:rsidR="00241015">
        <w:rPr>
          <w:rFonts w:ascii="Arial" w:hAnsi="Arial" w:cs="Arial"/>
          <w:b/>
        </w:rPr>
        <w:t xml:space="preserve">primary care </w:t>
      </w:r>
      <w:r>
        <w:rPr>
          <w:rFonts w:ascii="Arial" w:hAnsi="Arial" w:cs="Arial"/>
          <w:b/>
        </w:rPr>
        <w:t>prescribing data for SH ICP 2021 and 2022</w:t>
      </w:r>
      <w:r w:rsidR="00241015">
        <w:rPr>
          <w:rFonts w:ascii="Arial" w:hAnsi="Arial" w:cs="Arial"/>
          <w:b/>
        </w:rPr>
        <w:t xml:space="preserve">: </w:t>
      </w:r>
    </w:p>
    <w:p w14:paraId="68702013" w14:textId="2E791735" w:rsidR="003C704C" w:rsidRDefault="00AE1F59" w:rsidP="00624567">
      <w:pPr>
        <w:ind w:left="6480"/>
        <w:rPr>
          <w:rFonts w:ascii="Arial" w:hAnsi="Arial" w:cs="Arial"/>
          <w:b/>
        </w:rPr>
      </w:pPr>
      <w:r>
        <w:rPr>
          <w:rFonts w:ascii="Arial" w:hAnsi="Arial" w:cs="Arial"/>
          <w:b/>
        </w:rPr>
        <w:t xml:space="preserve">Graph 1 </w:t>
      </w:r>
    </w:p>
    <w:p w14:paraId="2D75B387" w14:textId="6B7A877B" w:rsidR="00AE1F59" w:rsidRDefault="00DF038C" w:rsidP="00AE1F59">
      <w:pPr>
        <w:jc w:val="center"/>
        <w:rPr>
          <w:rFonts w:ascii="Arial" w:hAnsi="Arial" w:cs="Arial"/>
          <w:b/>
        </w:rPr>
      </w:pPr>
      <w:r>
        <w:rPr>
          <w:noProof/>
        </w:rPr>
        <w:drawing>
          <wp:inline distT="0" distB="0" distL="0" distR="0" wp14:anchorId="56AC6B33" wp14:editId="4B303B44">
            <wp:extent cx="6086475" cy="3076575"/>
            <wp:effectExtent l="0" t="0" r="9525" b="9525"/>
            <wp:docPr id="6" name="Chart 6">
              <a:extLst xmlns:a="http://schemas.openxmlformats.org/drawingml/2006/main">
                <a:ext uri="{FF2B5EF4-FFF2-40B4-BE49-F238E27FC236}">
                  <a16:creationId xmlns:a16="http://schemas.microsoft.com/office/drawing/2014/main" id="{2DDA93D0-93FB-C75B-2EEE-902922C43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FBA782" w14:textId="3272AD2F" w:rsidR="00AE1F59" w:rsidRDefault="00AE1F59" w:rsidP="00AE1F59">
      <w:pPr>
        <w:jc w:val="center"/>
        <w:rPr>
          <w:rFonts w:ascii="Arial" w:hAnsi="Arial" w:cs="Arial"/>
          <w:b/>
        </w:rPr>
      </w:pPr>
      <w:r>
        <w:rPr>
          <w:rFonts w:ascii="Arial" w:hAnsi="Arial" w:cs="Arial"/>
          <w:b/>
        </w:rPr>
        <w:t>Table 1</w:t>
      </w:r>
    </w:p>
    <w:tbl>
      <w:tblPr>
        <w:tblW w:w="5160" w:type="dxa"/>
        <w:jc w:val="center"/>
        <w:tblLook w:val="04A0" w:firstRow="1" w:lastRow="0" w:firstColumn="1" w:lastColumn="0" w:noHBand="0" w:noVBand="1"/>
      </w:tblPr>
      <w:tblGrid>
        <w:gridCol w:w="701"/>
        <w:gridCol w:w="1140"/>
        <w:gridCol w:w="1180"/>
        <w:gridCol w:w="1120"/>
        <w:gridCol w:w="1140"/>
      </w:tblGrid>
      <w:tr w:rsidR="00DF038C" w:rsidRPr="00DF038C" w14:paraId="33898C94" w14:textId="77777777" w:rsidTr="00DF038C">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5BD4F" w14:textId="77777777" w:rsidR="00DF038C" w:rsidRPr="00DF038C" w:rsidRDefault="00DF038C" w:rsidP="00DF038C">
            <w:pPr>
              <w:spacing w:after="0" w:line="240" w:lineRule="auto"/>
              <w:jc w:val="center"/>
              <w:rPr>
                <w:rFonts w:ascii="Calibri" w:eastAsia="Times New Roman" w:hAnsi="Calibri" w:cs="Calibri"/>
                <w:color w:val="000000"/>
                <w:lang w:eastAsia="en-GB"/>
              </w:rPr>
            </w:pPr>
            <w:r w:rsidRPr="00DF038C">
              <w:rPr>
                <w:rFonts w:ascii="Calibri" w:eastAsia="Times New Roman" w:hAnsi="Calibri" w:cs="Calibri"/>
                <w:color w:val="000000"/>
                <w:lang w:eastAsia="en-GB"/>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82C68F9" w14:textId="77777777" w:rsidR="00DF038C" w:rsidRPr="00DF038C" w:rsidRDefault="00DF038C" w:rsidP="00DF038C">
            <w:pPr>
              <w:spacing w:after="0" w:line="240" w:lineRule="auto"/>
              <w:jc w:val="center"/>
              <w:rPr>
                <w:rFonts w:ascii="Calibri" w:eastAsia="Times New Roman" w:hAnsi="Calibri" w:cs="Calibri"/>
                <w:color w:val="000000"/>
                <w:lang w:eastAsia="en-GB"/>
              </w:rPr>
            </w:pPr>
            <w:r w:rsidRPr="00DF038C">
              <w:rPr>
                <w:rFonts w:ascii="Calibri" w:eastAsia="Times New Roman" w:hAnsi="Calibri" w:cs="Calibri"/>
                <w:color w:val="000000"/>
                <w:lang w:eastAsia="en-GB"/>
              </w:rPr>
              <w:t>2021</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AC3FA3D" w14:textId="77777777" w:rsidR="00DF038C" w:rsidRPr="00DF038C" w:rsidRDefault="00DF038C" w:rsidP="00DF038C">
            <w:pPr>
              <w:spacing w:after="0" w:line="240" w:lineRule="auto"/>
              <w:jc w:val="center"/>
              <w:rPr>
                <w:rFonts w:ascii="Calibri" w:eastAsia="Times New Roman" w:hAnsi="Calibri" w:cs="Calibri"/>
                <w:color w:val="000000"/>
                <w:lang w:eastAsia="en-GB"/>
              </w:rPr>
            </w:pPr>
            <w:r w:rsidRPr="00DF038C">
              <w:rPr>
                <w:rFonts w:ascii="Calibri" w:eastAsia="Times New Roman" w:hAnsi="Calibri" w:cs="Calibri"/>
                <w:color w:val="000000"/>
                <w:lang w:eastAsia="en-GB"/>
              </w:rPr>
              <w:t>2022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B63D194" w14:textId="77777777" w:rsidR="00DF038C" w:rsidRPr="00DF038C" w:rsidRDefault="00DF038C" w:rsidP="00DF038C">
            <w:pPr>
              <w:spacing w:after="0" w:line="240" w:lineRule="auto"/>
              <w:jc w:val="center"/>
              <w:rPr>
                <w:rFonts w:ascii="Calibri" w:eastAsia="Times New Roman" w:hAnsi="Calibri" w:cs="Calibri"/>
                <w:color w:val="000000"/>
                <w:lang w:eastAsia="en-GB"/>
              </w:rPr>
            </w:pPr>
            <w:r w:rsidRPr="00DF038C">
              <w:rPr>
                <w:rFonts w:ascii="Calibri" w:eastAsia="Times New Roman" w:hAnsi="Calibri" w:cs="Calibri"/>
                <w:color w:val="000000"/>
                <w:lang w:eastAsia="en-GB"/>
              </w:rPr>
              <w:t>2021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F6BBEF6" w14:textId="77777777" w:rsidR="00DF038C" w:rsidRPr="00DF038C" w:rsidRDefault="00DF038C" w:rsidP="00DF038C">
            <w:pPr>
              <w:spacing w:after="0" w:line="240" w:lineRule="auto"/>
              <w:jc w:val="center"/>
              <w:rPr>
                <w:rFonts w:ascii="Calibri" w:eastAsia="Times New Roman" w:hAnsi="Calibri" w:cs="Calibri"/>
                <w:color w:val="000000"/>
                <w:lang w:eastAsia="en-GB"/>
              </w:rPr>
            </w:pPr>
            <w:r w:rsidRPr="00DF038C">
              <w:rPr>
                <w:rFonts w:ascii="Calibri" w:eastAsia="Times New Roman" w:hAnsi="Calibri" w:cs="Calibri"/>
                <w:color w:val="000000"/>
                <w:lang w:eastAsia="en-GB"/>
              </w:rPr>
              <w:t>2022</w:t>
            </w:r>
          </w:p>
        </w:tc>
      </w:tr>
      <w:tr w:rsidR="00DF038C" w:rsidRPr="00DF038C" w14:paraId="1EEF6E2E" w14:textId="77777777" w:rsidTr="00DF038C">
        <w:trPr>
          <w:trHeight w:val="108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E2DFDC"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 </w:t>
            </w:r>
          </w:p>
        </w:tc>
        <w:tc>
          <w:tcPr>
            <w:tcW w:w="1140" w:type="dxa"/>
            <w:tcBorders>
              <w:top w:val="nil"/>
              <w:left w:val="nil"/>
              <w:bottom w:val="single" w:sz="4" w:space="0" w:color="auto"/>
              <w:right w:val="single" w:sz="4" w:space="0" w:color="auto"/>
            </w:tcBorders>
            <w:shd w:val="clear" w:color="auto" w:fill="auto"/>
            <w:vAlign w:val="bottom"/>
            <w:hideMark/>
          </w:tcPr>
          <w:p w14:paraId="20B2C973"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Safety Lancets (£)</w:t>
            </w:r>
          </w:p>
        </w:tc>
        <w:tc>
          <w:tcPr>
            <w:tcW w:w="1180" w:type="dxa"/>
            <w:tcBorders>
              <w:top w:val="nil"/>
              <w:left w:val="nil"/>
              <w:bottom w:val="single" w:sz="4" w:space="0" w:color="auto"/>
              <w:right w:val="single" w:sz="4" w:space="0" w:color="auto"/>
            </w:tcBorders>
            <w:shd w:val="clear" w:color="auto" w:fill="auto"/>
            <w:vAlign w:val="bottom"/>
            <w:hideMark/>
          </w:tcPr>
          <w:p w14:paraId="05E7020B" w14:textId="68175F92"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 xml:space="preserve">Safety </w:t>
            </w:r>
            <w:r>
              <w:rPr>
                <w:rFonts w:ascii="Calibri" w:eastAsia="Times New Roman" w:hAnsi="Calibri" w:cs="Calibri"/>
                <w:color w:val="000000"/>
                <w:lang w:eastAsia="en-GB"/>
              </w:rPr>
              <w:t>L</w:t>
            </w:r>
            <w:r w:rsidRPr="00DF038C">
              <w:rPr>
                <w:rFonts w:ascii="Calibri" w:eastAsia="Times New Roman" w:hAnsi="Calibri" w:cs="Calibri"/>
                <w:color w:val="000000"/>
                <w:lang w:eastAsia="en-GB"/>
              </w:rPr>
              <w:t>ancets (£)</w:t>
            </w:r>
          </w:p>
        </w:tc>
        <w:tc>
          <w:tcPr>
            <w:tcW w:w="1120" w:type="dxa"/>
            <w:tcBorders>
              <w:top w:val="nil"/>
              <w:left w:val="nil"/>
              <w:bottom w:val="single" w:sz="4" w:space="0" w:color="auto"/>
              <w:right w:val="single" w:sz="4" w:space="0" w:color="auto"/>
            </w:tcBorders>
            <w:shd w:val="clear" w:color="auto" w:fill="auto"/>
            <w:vAlign w:val="bottom"/>
            <w:hideMark/>
          </w:tcPr>
          <w:p w14:paraId="0A461B7E"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Safety pen needles (£)</w:t>
            </w:r>
          </w:p>
        </w:tc>
        <w:tc>
          <w:tcPr>
            <w:tcW w:w="1140" w:type="dxa"/>
            <w:tcBorders>
              <w:top w:val="nil"/>
              <w:left w:val="nil"/>
              <w:bottom w:val="single" w:sz="4" w:space="0" w:color="auto"/>
              <w:right w:val="single" w:sz="4" w:space="0" w:color="auto"/>
            </w:tcBorders>
            <w:shd w:val="clear" w:color="auto" w:fill="auto"/>
            <w:vAlign w:val="bottom"/>
            <w:hideMark/>
          </w:tcPr>
          <w:p w14:paraId="3E996CCB"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Safety Pen needles (£)</w:t>
            </w:r>
          </w:p>
        </w:tc>
      </w:tr>
      <w:tr w:rsidR="00DF038C" w:rsidRPr="00DF038C" w14:paraId="0DB691C9" w14:textId="77777777" w:rsidTr="00DF038C">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62AAA8"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ES</w:t>
            </w:r>
          </w:p>
        </w:tc>
        <w:tc>
          <w:tcPr>
            <w:tcW w:w="1140" w:type="dxa"/>
            <w:tcBorders>
              <w:top w:val="nil"/>
              <w:left w:val="nil"/>
              <w:bottom w:val="single" w:sz="4" w:space="0" w:color="auto"/>
              <w:right w:val="single" w:sz="4" w:space="0" w:color="auto"/>
            </w:tcBorders>
            <w:shd w:val="clear" w:color="auto" w:fill="auto"/>
            <w:noWrap/>
            <w:vAlign w:val="bottom"/>
            <w:hideMark/>
          </w:tcPr>
          <w:p w14:paraId="7E39E7F6"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1,377</w:t>
            </w:r>
          </w:p>
        </w:tc>
        <w:tc>
          <w:tcPr>
            <w:tcW w:w="1180" w:type="dxa"/>
            <w:tcBorders>
              <w:top w:val="nil"/>
              <w:left w:val="nil"/>
              <w:bottom w:val="single" w:sz="4" w:space="0" w:color="auto"/>
              <w:right w:val="single" w:sz="4" w:space="0" w:color="auto"/>
            </w:tcBorders>
            <w:shd w:val="clear" w:color="auto" w:fill="auto"/>
            <w:noWrap/>
            <w:vAlign w:val="bottom"/>
            <w:hideMark/>
          </w:tcPr>
          <w:p w14:paraId="0E84CF04"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1271</w:t>
            </w:r>
          </w:p>
        </w:tc>
        <w:tc>
          <w:tcPr>
            <w:tcW w:w="1120" w:type="dxa"/>
            <w:tcBorders>
              <w:top w:val="nil"/>
              <w:left w:val="nil"/>
              <w:bottom w:val="single" w:sz="4" w:space="0" w:color="auto"/>
              <w:right w:val="single" w:sz="4" w:space="0" w:color="auto"/>
            </w:tcBorders>
            <w:shd w:val="clear" w:color="auto" w:fill="auto"/>
            <w:noWrap/>
            <w:vAlign w:val="bottom"/>
            <w:hideMark/>
          </w:tcPr>
          <w:p w14:paraId="18068FAB"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10,979</w:t>
            </w:r>
          </w:p>
        </w:tc>
        <w:tc>
          <w:tcPr>
            <w:tcW w:w="1140" w:type="dxa"/>
            <w:tcBorders>
              <w:top w:val="nil"/>
              <w:left w:val="nil"/>
              <w:bottom w:val="single" w:sz="4" w:space="0" w:color="auto"/>
              <w:right w:val="single" w:sz="4" w:space="0" w:color="auto"/>
            </w:tcBorders>
            <w:shd w:val="clear" w:color="auto" w:fill="auto"/>
            <w:noWrap/>
            <w:vAlign w:val="bottom"/>
            <w:hideMark/>
          </w:tcPr>
          <w:p w14:paraId="4EC243F9"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9420</w:t>
            </w:r>
          </w:p>
        </w:tc>
      </w:tr>
      <w:tr w:rsidR="00DF038C" w:rsidRPr="00DF038C" w14:paraId="4E048AA6" w14:textId="77777777" w:rsidTr="00DF038C">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0375D5"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G&amp;W</w:t>
            </w:r>
          </w:p>
        </w:tc>
        <w:tc>
          <w:tcPr>
            <w:tcW w:w="1140" w:type="dxa"/>
            <w:tcBorders>
              <w:top w:val="nil"/>
              <w:left w:val="nil"/>
              <w:bottom w:val="single" w:sz="4" w:space="0" w:color="auto"/>
              <w:right w:val="single" w:sz="4" w:space="0" w:color="auto"/>
            </w:tcBorders>
            <w:shd w:val="clear" w:color="auto" w:fill="auto"/>
            <w:noWrap/>
            <w:vAlign w:val="bottom"/>
            <w:hideMark/>
          </w:tcPr>
          <w:p w14:paraId="0FCC2D7F"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1,404</w:t>
            </w:r>
          </w:p>
        </w:tc>
        <w:tc>
          <w:tcPr>
            <w:tcW w:w="1180" w:type="dxa"/>
            <w:tcBorders>
              <w:top w:val="nil"/>
              <w:left w:val="nil"/>
              <w:bottom w:val="single" w:sz="4" w:space="0" w:color="auto"/>
              <w:right w:val="single" w:sz="4" w:space="0" w:color="auto"/>
            </w:tcBorders>
            <w:shd w:val="clear" w:color="auto" w:fill="auto"/>
            <w:noWrap/>
            <w:vAlign w:val="bottom"/>
            <w:hideMark/>
          </w:tcPr>
          <w:p w14:paraId="26FA0EB2"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1402</w:t>
            </w:r>
          </w:p>
        </w:tc>
        <w:tc>
          <w:tcPr>
            <w:tcW w:w="1120" w:type="dxa"/>
            <w:tcBorders>
              <w:top w:val="nil"/>
              <w:left w:val="nil"/>
              <w:bottom w:val="single" w:sz="4" w:space="0" w:color="auto"/>
              <w:right w:val="single" w:sz="4" w:space="0" w:color="auto"/>
            </w:tcBorders>
            <w:shd w:val="clear" w:color="auto" w:fill="auto"/>
            <w:noWrap/>
            <w:vAlign w:val="bottom"/>
            <w:hideMark/>
          </w:tcPr>
          <w:p w14:paraId="621286EC"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11,038</w:t>
            </w:r>
          </w:p>
        </w:tc>
        <w:tc>
          <w:tcPr>
            <w:tcW w:w="1140" w:type="dxa"/>
            <w:tcBorders>
              <w:top w:val="nil"/>
              <w:left w:val="nil"/>
              <w:bottom w:val="single" w:sz="4" w:space="0" w:color="auto"/>
              <w:right w:val="single" w:sz="4" w:space="0" w:color="auto"/>
            </w:tcBorders>
            <w:shd w:val="clear" w:color="auto" w:fill="auto"/>
            <w:noWrap/>
            <w:vAlign w:val="bottom"/>
            <w:hideMark/>
          </w:tcPr>
          <w:p w14:paraId="7BCEF7C7"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11603</w:t>
            </w:r>
          </w:p>
        </w:tc>
      </w:tr>
      <w:tr w:rsidR="00DF038C" w:rsidRPr="00DF038C" w14:paraId="378E866D" w14:textId="77777777" w:rsidTr="00DF038C">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47D7CD"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NWS</w:t>
            </w:r>
          </w:p>
        </w:tc>
        <w:tc>
          <w:tcPr>
            <w:tcW w:w="1140" w:type="dxa"/>
            <w:tcBorders>
              <w:top w:val="nil"/>
              <w:left w:val="nil"/>
              <w:bottom w:val="single" w:sz="4" w:space="0" w:color="auto"/>
              <w:right w:val="single" w:sz="4" w:space="0" w:color="auto"/>
            </w:tcBorders>
            <w:shd w:val="clear" w:color="auto" w:fill="auto"/>
            <w:noWrap/>
            <w:vAlign w:val="bottom"/>
            <w:hideMark/>
          </w:tcPr>
          <w:p w14:paraId="222E909E"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551</w:t>
            </w:r>
          </w:p>
        </w:tc>
        <w:tc>
          <w:tcPr>
            <w:tcW w:w="1180" w:type="dxa"/>
            <w:tcBorders>
              <w:top w:val="nil"/>
              <w:left w:val="nil"/>
              <w:bottom w:val="single" w:sz="4" w:space="0" w:color="auto"/>
              <w:right w:val="single" w:sz="4" w:space="0" w:color="auto"/>
            </w:tcBorders>
            <w:shd w:val="clear" w:color="auto" w:fill="auto"/>
            <w:noWrap/>
            <w:vAlign w:val="bottom"/>
            <w:hideMark/>
          </w:tcPr>
          <w:p w14:paraId="6F6EB943"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684</w:t>
            </w:r>
          </w:p>
        </w:tc>
        <w:tc>
          <w:tcPr>
            <w:tcW w:w="1120" w:type="dxa"/>
            <w:tcBorders>
              <w:top w:val="nil"/>
              <w:left w:val="nil"/>
              <w:bottom w:val="single" w:sz="4" w:space="0" w:color="auto"/>
              <w:right w:val="single" w:sz="4" w:space="0" w:color="auto"/>
            </w:tcBorders>
            <w:shd w:val="clear" w:color="auto" w:fill="auto"/>
            <w:noWrap/>
            <w:vAlign w:val="bottom"/>
            <w:hideMark/>
          </w:tcPr>
          <w:p w14:paraId="05C64491"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16,282</w:t>
            </w:r>
          </w:p>
        </w:tc>
        <w:tc>
          <w:tcPr>
            <w:tcW w:w="1140" w:type="dxa"/>
            <w:tcBorders>
              <w:top w:val="nil"/>
              <w:left w:val="nil"/>
              <w:bottom w:val="single" w:sz="4" w:space="0" w:color="auto"/>
              <w:right w:val="single" w:sz="4" w:space="0" w:color="auto"/>
            </w:tcBorders>
            <w:shd w:val="clear" w:color="auto" w:fill="auto"/>
            <w:noWrap/>
            <w:vAlign w:val="bottom"/>
            <w:hideMark/>
          </w:tcPr>
          <w:p w14:paraId="224120A8"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16641</w:t>
            </w:r>
          </w:p>
        </w:tc>
      </w:tr>
      <w:tr w:rsidR="00DF038C" w:rsidRPr="00DF038C" w14:paraId="38188125" w14:textId="77777777" w:rsidTr="00DF038C">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C7E2AE"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SD</w:t>
            </w:r>
          </w:p>
        </w:tc>
        <w:tc>
          <w:tcPr>
            <w:tcW w:w="1140" w:type="dxa"/>
            <w:tcBorders>
              <w:top w:val="nil"/>
              <w:left w:val="nil"/>
              <w:bottom w:val="single" w:sz="4" w:space="0" w:color="auto"/>
              <w:right w:val="single" w:sz="4" w:space="0" w:color="auto"/>
            </w:tcBorders>
            <w:shd w:val="clear" w:color="auto" w:fill="auto"/>
            <w:noWrap/>
            <w:vAlign w:val="bottom"/>
            <w:hideMark/>
          </w:tcPr>
          <w:p w14:paraId="1C501A4F"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3,636</w:t>
            </w:r>
          </w:p>
        </w:tc>
        <w:tc>
          <w:tcPr>
            <w:tcW w:w="1180" w:type="dxa"/>
            <w:tcBorders>
              <w:top w:val="nil"/>
              <w:left w:val="nil"/>
              <w:bottom w:val="single" w:sz="4" w:space="0" w:color="auto"/>
              <w:right w:val="single" w:sz="4" w:space="0" w:color="auto"/>
            </w:tcBorders>
            <w:shd w:val="clear" w:color="auto" w:fill="auto"/>
            <w:noWrap/>
            <w:vAlign w:val="bottom"/>
            <w:hideMark/>
          </w:tcPr>
          <w:p w14:paraId="480E0E28"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3503</w:t>
            </w:r>
          </w:p>
        </w:tc>
        <w:tc>
          <w:tcPr>
            <w:tcW w:w="1120" w:type="dxa"/>
            <w:tcBorders>
              <w:top w:val="nil"/>
              <w:left w:val="nil"/>
              <w:bottom w:val="single" w:sz="4" w:space="0" w:color="auto"/>
              <w:right w:val="single" w:sz="4" w:space="0" w:color="auto"/>
            </w:tcBorders>
            <w:shd w:val="clear" w:color="auto" w:fill="auto"/>
            <w:noWrap/>
            <w:vAlign w:val="bottom"/>
            <w:hideMark/>
          </w:tcPr>
          <w:p w14:paraId="5E41FCFB"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21,297</w:t>
            </w:r>
          </w:p>
        </w:tc>
        <w:tc>
          <w:tcPr>
            <w:tcW w:w="1140" w:type="dxa"/>
            <w:tcBorders>
              <w:top w:val="nil"/>
              <w:left w:val="nil"/>
              <w:bottom w:val="single" w:sz="4" w:space="0" w:color="auto"/>
              <w:right w:val="single" w:sz="4" w:space="0" w:color="auto"/>
            </w:tcBorders>
            <w:shd w:val="clear" w:color="auto" w:fill="auto"/>
            <w:noWrap/>
            <w:vAlign w:val="bottom"/>
            <w:hideMark/>
          </w:tcPr>
          <w:p w14:paraId="24930AF8"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22844</w:t>
            </w:r>
          </w:p>
        </w:tc>
      </w:tr>
      <w:tr w:rsidR="00DF038C" w:rsidRPr="00DF038C" w14:paraId="456BE0BF" w14:textId="77777777" w:rsidTr="00DF038C">
        <w:trPr>
          <w:trHeight w:val="300"/>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1F32FF" w14:textId="77777777" w:rsidR="00DF038C" w:rsidRPr="00DF038C" w:rsidRDefault="00DF038C" w:rsidP="00DF038C">
            <w:pPr>
              <w:spacing w:after="0" w:line="240" w:lineRule="auto"/>
              <w:rPr>
                <w:rFonts w:ascii="Calibri" w:eastAsia="Times New Roman" w:hAnsi="Calibri" w:cs="Calibri"/>
                <w:color w:val="000000"/>
                <w:lang w:eastAsia="en-GB"/>
              </w:rPr>
            </w:pPr>
            <w:r w:rsidRPr="00DF038C">
              <w:rPr>
                <w:rFonts w:ascii="Calibri" w:eastAsia="Times New Roman" w:hAnsi="Calibri" w:cs="Calibri"/>
                <w:color w:val="000000"/>
                <w:lang w:eastAsia="en-GB"/>
              </w:rPr>
              <w:t>Total</w:t>
            </w:r>
          </w:p>
        </w:tc>
        <w:tc>
          <w:tcPr>
            <w:tcW w:w="1140" w:type="dxa"/>
            <w:tcBorders>
              <w:top w:val="nil"/>
              <w:left w:val="nil"/>
              <w:bottom w:val="single" w:sz="4" w:space="0" w:color="auto"/>
              <w:right w:val="single" w:sz="4" w:space="0" w:color="auto"/>
            </w:tcBorders>
            <w:shd w:val="clear" w:color="auto" w:fill="auto"/>
            <w:noWrap/>
            <w:vAlign w:val="bottom"/>
            <w:hideMark/>
          </w:tcPr>
          <w:p w14:paraId="0AF43037"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6,968</w:t>
            </w:r>
          </w:p>
        </w:tc>
        <w:tc>
          <w:tcPr>
            <w:tcW w:w="1180" w:type="dxa"/>
            <w:tcBorders>
              <w:top w:val="nil"/>
              <w:left w:val="nil"/>
              <w:bottom w:val="single" w:sz="4" w:space="0" w:color="auto"/>
              <w:right w:val="single" w:sz="4" w:space="0" w:color="auto"/>
            </w:tcBorders>
            <w:shd w:val="clear" w:color="auto" w:fill="auto"/>
            <w:noWrap/>
            <w:vAlign w:val="bottom"/>
            <w:hideMark/>
          </w:tcPr>
          <w:p w14:paraId="54EA5DB5"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6860</w:t>
            </w:r>
          </w:p>
        </w:tc>
        <w:tc>
          <w:tcPr>
            <w:tcW w:w="1120" w:type="dxa"/>
            <w:tcBorders>
              <w:top w:val="nil"/>
              <w:left w:val="nil"/>
              <w:bottom w:val="single" w:sz="4" w:space="0" w:color="auto"/>
              <w:right w:val="single" w:sz="4" w:space="0" w:color="auto"/>
            </w:tcBorders>
            <w:shd w:val="clear" w:color="auto" w:fill="auto"/>
            <w:noWrap/>
            <w:vAlign w:val="bottom"/>
            <w:hideMark/>
          </w:tcPr>
          <w:p w14:paraId="3E19DDA4"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59,596</w:t>
            </w:r>
          </w:p>
        </w:tc>
        <w:tc>
          <w:tcPr>
            <w:tcW w:w="1140" w:type="dxa"/>
            <w:tcBorders>
              <w:top w:val="nil"/>
              <w:left w:val="nil"/>
              <w:bottom w:val="single" w:sz="4" w:space="0" w:color="auto"/>
              <w:right w:val="single" w:sz="4" w:space="0" w:color="auto"/>
            </w:tcBorders>
            <w:shd w:val="clear" w:color="auto" w:fill="auto"/>
            <w:noWrap/>
            <w:vAlign w:val="bottom"/>
            <w:hideMark/>
          </w:tcPr>
          <w:p w14:paraId="0158C435" w14:textId="77777777" w:rsidR="00DF038C" w:rsidRPr="00DF038C" w:rsidRDefault="00DF038C" w:rsidP="00DF038C">
            <w:pPr>
              <w:spacing w:after="0" w:line="240" w:lineRule="auto"/>
              <w:jc w:val="right"/>
              <w:rPr>
                <w:rFonts w:ascii="Calibri" w:eastAsia="Times New Roman" w:hAnsi="Calibri" w:cs="Calibri"/>
                <w:color w:val="000000"/>
                <w:lang w:eastAsia="en-GB"/>
              </w:rPr>
            </w:pPr>
            <w:r w:rsidRPr="00DF038C">
              <w:rPr>
                <w:rFonts w:ascii="Calibri" w:eastAsia="Times New Roman" w:hAnsi="Calibri" w:cs="Calibri"/>
                <w:color w:val="000000"/>
                <w:lang w:eastAsia="en-GB"/>
              </w:rPr>
              <w:t>60508</w:t>
            </w:r>
          </w:p>
        </w:tc>
      </w:tr>
    </w:tbl>
    <w:p w14:paraId="00E1341E" w14:textId="5A990B5C" w:rsidR="00AE1F59" w:rsidRDefault="00AE1F59" w:rsidP="00DF038C">
      <w:pPr>
        <w:ind w:left="6480"/>
        <w:rPr>
          <w:rFonts w:ascii="Arial" w:hAnsi="Arial" w:cs="Arial"/>
          <w:b/>
        </w:rPr>
      </w:pPr>
    </w:p>
    <w:p w14:paraId="3C55A58F" w14:textId="3CBD3BC9" w:rsidR="00AE1F59" w:rsidRDefault="00AE1F59" w:rsidP="00624567">
      <w:pPr>
        <w:ind w:left="6480"/>
        <w:rPr>
          <w:rFonts w:ascii="Arial" w:hAnsi="Arial" w:cs="Arial"/>
          <w:b/>
        </w:rPr>
      </w:pPr>
    </w:p>
    <w:p w14:paraId="42AB69E2" w14:textId="77777777" w:rsidR="00AE1F59" w:rsidRDefault="00AE1F59" w:rsidP="00624567">
      <w:pPr>
        <w:ind w:left="6480"/>
        <w:rPr>
          <w:rFonts w:ascii="Arial" w:hAnsi="Arial" w:cs="Arial"/>
          <w:b/>
        </w:rPr>
      </w:pPr>
    </w:p>
    <w:p w14:paraId="4B0AF92F" w14:textId="0B349C8D" w:rsidR="003C704C" w:rsidRDefault="00740496" w:rsidP="003B4812">
      <w:pPr>
        <w:ind w:left="6480"/>
        <w:rPr>
          <w:rFonts w:ascii="Arial" w:hAnsi="Arial" w:cs="Arial"/>
          <w:b/>
        </w:rPr>
      </w:pPr>
      <w:r>
        <w:rPr>
          <w:rFonts w:ascii="Arial" w:hAnsi="Arial" w:cs="Arial"/>
          <w:b/>
        </w:rPr>
        <w:br w:type="textWrapping" w:clear="all"/>
      </w:r>
      <w:r w:rsidR="003B4812">
        <w:rPr>
          <w:rFonts w:ascii="Arial" w:hAnsi="Arial" w:cs="Arial"/>
          <w:b/>
        </w:rPr>
        <w:t xml:space="preserve">Graph 2 </w:t>
      </w:r>
    </w:p>
    <w:p w14:paraId="30164A4E" w14:textId="150B0BD6" w:rsidR="003C704C" w:rsidRDefault="003C704C" w:rsidP="003C704C">
      <w:pPr>
        <w:rPr>
          <w:rFonts w:ascii="Arial" w:hAnsi="Arial" w:cs="Arial"/>
          <w:b/>
        </w:rPr>
      </w:pPr>
      <w:r>
        <w:rPr>
          <w:rFonts w:ascii="Arial" w:hAnsi="Arial" w:cs="Arial"/>
          <w:b/>
          <w:noProof/>
        </w:rPr>
        <w:drawing>
          <wp:inline distT="0" distB="0" distL="0" distR="0" wp14:anchorId="2E6AB2C4" wp14:editId="5CA9F774">
            <wp:extent cx="8334375" cy="516045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40834" cy="5164450"/>
                    </a:xfrm>
                    <a:prstGeom prst="rect">
                      <a:avLst/>
                    </a:prstGeom>
                    <a:noFill/>
                  </pic:spPr>
                </pic:pic>
              </a:graphicData>
            </a:graphic>
          </wp:inline>
        </w:drawing>
      </w:r>
    </w:p>
    <w:p w14:paraId="06820943" w14:textId="77777777" w:rsidR="003B4812" w:rsidRDefault="003B4812" w:rsidP="003B4812">
      <w:pPr>
        <w:tabs>
          <w:tab w:val="left" w:pos="1305"/>
        </w:tabs>
        <w:ind w:left="720"/>
        <w:jc w:val="center"/>
        <w:rPr>
          <w:rFonts w:ascii="Arial" w:hAnsi="Arial" w:cs="Arial"/>
          <w:b/>
          <w:color w:val="FF0000"/>
        </w:rPr>
      </w:pPr>
    </w:p>
    <w:p w14:paraId="74E52E3D" w14:textId="172BCDC7" w:rsidR="003B4812" w:rsidRPr="003B4812" w:rsidRDefault="00AD60B6" w:rsidP="003B4812">
      <w:pPr>
        <w:tabs>
          <w:tab w:val="left" w:pos="1305"/>
        </w:tabs>
        <w:ind w:left="720"/>
        <w:jc w:val="center"/>
        <w:rPr>
          <w:rFonts w:ascii="Arial" w:hAnsi="Arial" w:cs="Arial"/>
          <w:b/>
        </w:rPr>
      </w:pPr>
      <w:r w:rsidRPr="003B4812">
        <w:rPr>
          <w:rFonts w:ascii="Arial" w:hAnsi="Arial" w:cs="Arial"/>
          <w:b/>
        </w:rPr>
        <w:t xml:space="preserve">GRAPH </w:t>
      </w:r>
      <w:r w:rsidR="003B4812" w:rsidRPr="003B4812">
        <w:rPr>
          <w:rFonts w:ascii="Arial" w:hAnsi="Arial" w:cs="Arial"/>
          <w:b/>
        </w:rPr>
        <w:t>3</w:t>
      </w:r>
    </w:p>
    <w:p w14:paraId="43D8D940" w14:textId="35C22A80" w:rsidR="00624567" w:rsidRPr="00624567" w:rsidRDefault="00AD60B6" w:rsidP="003B4812">
      <w:pPr>
        <w:tabs>
          <w:tab w:val="left" w:pos="1305"/>
        </w:tabs>
        <w:ind w:left="720"/>
        <w:jc w:val="center"/>
        <w:rPr>
          <w:rFonts w:ascii="Arial" w:hAnsi="Arial" w:cs="Arial"/>
          <w:b/>
        </w:rPr>
        <w:sectPr w:rsidR="00624567" w:rsidRPr="00624567" w:rsidSect="00AD60B6">
          <w:pgSz w:w="16838" w:h="11906" w:orient="landscape"/>
          <w:pgMar w:top="720" w:right="720" w:bottom="720" w:left="720" w:header="709" w:footer="227" w:gutter="0"/>
          <w:cols w:space="708"/>
          <w:titlePg/>
          <w:docGrid w:linePitch="360"/>
        </w:sectPr>
      </w:pPr>
      <w:r>
        <w:rPr>
          <w:rFonts w:ascii="Arial" w:hAnsi="Arial" w:cs="Arial"/>
          <w:b/>
        </w:rPr>
        <w:br w:type="textWrapping" w:clear="all"/>
      </w:r>
      <w:r w:rsidR="003B4812">
        <w:rPr>
          <w:noProof/>
        </w:rPr>
        <w:drawing>
          <wp:inline distT="0" distB="0" distL="0" distR="0" wp14:anchorId="11C85531" wp14:editId="4D78FD49">
            <wp:extent cx="6800850" cy="3009900"/>
            <wp:effectExtent l="0" t="0" r="0" b="0"/>
            <wp:docPr id="1" name="Chart 1">
              <a:extLst xmlns:a="http://schemas.openxmlformats.org/drawingml/2006/main">
                <a:ext uri="{FF2B5EF4-FFF2-40B4-BE49-F238E27FC236}">
                  <a16:creationId xmlns:a16="http://schemas.microsoft.com/office/drawing/2014/main" id="{49624BD8-B192-F8C4-73B2-DD82CF164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9BD496" w14:textId="5843A4BF" w:rsidR="00851E11" w:rsidRPr="00851E11" w:rsidRDefault="00851E11" w:rsidP="00851E11">
      <w:pPr>
        <w:rPr>
          <w:rFonts w:ascii="Arial" w:hAnsi="Arial" w:cs="Arial"/>
          <w:b/>
          <w:color w:val="17365D" w:themeColor="text2" w:themeShade="BF"/>
          <w:u w:val="single"/>
        </w:rPr>
      </w:pPr>
      <w:r w:rsidRPr="00851E11">
        <w:rPr>
          <w:rFonts w:ascii="Arial" w:hAnsi="Arial" w:cs="Arial"/>
          <w:b/>
          <w:color w:val="17365D" w:themeColor="text2" w:themeShade="BF"/>
          <w:u w:val="single"/>
        </w:rPr>
        <w:lastRenderedPageBreak/>
        <w:t>SAFETY</w:t>
      </w:r>
    </w:p>
    <w:p w14:paraId="2A817266" w14:textId="6C55F016" w:rsidR="00851E11" w:rsidRDefault="00851E11" w:rsidP="00851E11">
      <w:pPr>
        <w:rPr>
          <w:rFonts w:ascii="Arial" w:hAnsi="Arial" w:cs="Arial"/>
        </w:rPr>
      </w:pPr>
      <w:r w:rsidRPr="00851E11">
        <w:rPr>
          <w:rFonts w:ascii="Arial" w:hAnsi="Arial" w:cs="Arial"/>
        </w:rPr>
        <w:t xml:space="preserve">Sharps-related injuries carry the risk of </w:t>
      </w:r>
      <w:r>
        <w:rPr>
          <w:rFonts w:ascii="Arial" w:hAnsi="Arial" w:cs="Arial"/>
        </w:rPr>
        <w:t>serious blood borne infection</w:t>
      </w:r>
      <w:r w:rsidR="004A28DE">
        <w:rPr>
          <w:rFonts w:ascii="Arial" w:hAnsi="Arial" w:cs="Arial"/>
        </w:rPr>
        <w:t>. A</w:t>
      </w:r>
      <w:r>
        <w:rPr>
          <w:rFonts w:ascii="Arial" w:hAnsi="Arial" w:cs="Arial"/>
        </w:rPr>
        <w:t xml:space="preserve"> </w:t>
      </w:r>
      <w:r w:rsidRPr="00851E11">
        <w:rPr>
          <w:rFonts w:ascii="Arial" w:hAnsi="Arial" w:cs="Arial"/>
        </w:rPr>
        <w:t xml:space="preserve">systematic review </w:t>
      </w:r>
      <w:r w:rsidR="004A28DE">
        <w:rPr>
          <w:rFonts w:ascii="Arial" w:hAnsi="Arial" w:cs="Arial"/>
        </w:rPr>
        <w:t xml:space="preserve">was </w:t>
      </w:r>
      <w:r w:rsidRPr="00851E11">
        <w:rPr>
          <w:rFonts w:ascii="Arial" w:hAnsi="Arial" w:cs="Arial"/>
        </w:rPr>
        <w:t xml:space="preserve">undertaken </w:t>
      </w:r>
      <w:r>
        <w:rPr>
          <w:rFonts w:ascii="Arial" w:hAnsi="Arial" w:cs="Arial"/>
        </w:rPr>
        <w:t>for the Health and Safety Executive,</w:t>
      </w:r>
      <w:r w:rsidRPr="00851E11">
        <w:rPr>
          <w:rFonts w:ascii="Arial" w:hAnsi="Arial" w:cs="Arial"/>
        </w:rPr>
        <w:t xml:space="preserve"> to consider the evidence related to safer sharps devices and their impact on </w:t>
      </w:r>
      <w:r w:rsidR="004A28DE" w:rsidRPr="00851E11">
        <w:rPr>
          <w:rFonts w:ascii="Arial" w:hAnsi="Arial" w:cs="Arial"/>
        </w:rPr>
        <w:t>needle stick</w:t>
      </w:r>
      <w:r w:rsidRPr="00851E11">
        <w:rPr>
          <w:rFonts w:ascii="Arial" w:hAnsi="Arial" w:cs="Arial"/>
        </w:rPr>
        <w:t xml:space="preserve"> injury reduction within the healthcare sector</w:t>
      </w:r>
      <w:r w:rsidR="004A28DE">
        <w:rPr>
          <w:rFonts w:ascii="Arial" w:hAnsi="Arial" w:cs="Arial"/>
        </w:rPr>
        <w:t>. (2)</w:t>
      </w:r>
      <w:r w:rsidRPr="00851E11">
        <w:rPr>
          <w:rFonts w:ascii="Arial" w:hAnsi="Arial" w:cs="Arial"/>
        </w:rPr>
        <w:t xml:space="preserve"> The revie</w:t>
      </w:r>
      <w:r>
        <w:rPr>
          <w:rFonts w:ascii="Arial" w:hAnsi="Arial" w:cs="Arial"/>
        </w:rPr>
        <w:t>w sought to determine whether</w:t>
      </w:r>
      <w:r w:rsidR="004A28DE">
        <w:rPr>
          <w:rFonts w:ascii="Arial" w:hAnsi="Arial" w:cs="Arial"/>
        </w:rPr>
        <w:t>:</w:t>
      </w:r>
    </w:p>
    <w:p w14:paraId="1B4F37C5" w14:textId="1A511E95" w:rsidR="00851E11" w:rsidRPr="00851E11" w:rsidRDefault="00851E11" w:rsidP="00851E11">
      <w:pPr>
        <w:pStyle w:val="ListParagraph"/>
        <w:numPr>
          <w:ilvl w:val="0"/>
          <w:numId w:val="35"/>
        </w:numPr>
        <w:rPr>
          <w:rFonts w:ascii="Arial" w:hAnsi="Arial" w:cs="Arial"/>
        </w:rPr>
      </w:pPr>
      <w:r w:rsidRPr="00851E11">
        <w:rPr>
          <w:rFonts w:ascii="Arial" w:hAnsi="Arial" w:cs="Arial"/>
        </w:rPr>
        <w:t xml:space="preserve">the use of safer sharps devices could reduce the incidence of sharps </w:t>
      </w:r>
      <w:r w:rsidR="00E76FEB" w:rsidRPr="00851E11">
        <w:rPr>
          <w:rFonts w:ascii="Arial" w:hAnsi="Arial" w:cs="Arial"/>
        </w:rPr>
        <w:t>injury.</w:t>
      </w:r>
      <w:r w:rsidRPr="00851E11">
        <w:rPr>
          <w:rFonts w:ascii="Arial" w:hAnsi="Arial" w:cs="Arial"/>
        </w:rPr>
        <w:t xml:space="preserve"> </w:t>
      </w:r>
    </w:p>
    <w:p w14:paraId="351E0ADB" w14:textId="7DED7E44" w:rsidR="00851E11" w:rsidRPr="00851E11" w:rsidRDefault="00851E11" w:rsidP="00851E11">
      <w:pPr>
        <w:pStyle w:val="ListParagraph"/>
        <w:numPr>
          <w:ilvl w:val="0"/>
          <w:numId w:val="35"/>
        </w:numPr>
        <w:rPr>
          <w:rFonts w:ascii="Arial" w:hAnsi="Arial" w:cs="Arial"/>
        </w:rPr>
      </w:pPr>
      <w:r w:rsidRPr="00851E11">
        <w:rPr>
          <w:rFonts w:ascii="Arial" w:hAnsi="Arial" w:cs="Arial"/>
        </w:rPr>
        <w:t xml:space="preserve">dedicated educational / training initiatives could reduce the incidence of sharps </w:t>
      </w:r>
      <w:r w:rsidR="00E76FEB" w:rsidRPr="00851E11">
        <w:rPr>
          <w:rFonts w:ascii="Arial" w:hAnsi="Arial" w:cs="Arial"/>
        </w:rPr>
        <w:t>injuries.</w:t>
      </w:r>
      <w:r w:rsidRPr="00851E11">
        <w:rPr>
          <w:rFonts w:ascii="Arial" w:hAnsi="Arial" w:cs="Arial"/>
        </w:rPr>
        <w:t xml:space="preserve"> </w:t>
      </w:r>
    </w:p>
    <w:p w14:paraId="1A2F922D" w14:textId="5A56BA50" w:rsidR="00851E11" w:rsidRPr="00851E11" w:rsidRDefault="00851E11" w:rsidP="00851E11">
      <w:pPr>
        <w:pStyle w:val="ListParagraph"/>
        <w:numPr>
          <w:ilvl w:val="0"/>
          <w:numId w:val="35"/>
        </w:numPr>
        <w:rPr>
          <w:rFonts w:ascii="Arial" w:hAnsi="Arial" w:cs="Arial"/>
        </w:rPr>
      </w:pPr>
      <w:r w:rsidRPr="00851E11">
        <w:rPr>
          <w:rFonts w:ascii="Arial" w:hAnsi="Arial" w:cs="Arial"/>
        </w:rPr>
        <w:t>safer sharps devices were accepted by the hospital personnel asked to use them</w:t>
      </w:r>
      <w:r w:rsidR="00E76FEB">
        <w:rPr>
          <w:rFonts w:ascii="Arial" w:hAnsi="Arial" w:cs="Arial"/>
        </w:rPr>
        <w:t>.</w:t>
      </w:r>
    </w:p>
    <w:p w14:paraId="742B3106" w14:textId="2AB9308F" w:rsidR="00851E11" w:rsidRPr="00851E11" w:rsidRDefault="00851E11" w:rsidP="00851E11">
      <w:pPr>
        <w:pStyle w:val="ListParagraph"/>
        <w:numPr>
          <w:ilvl w:val="0"/>
          <w:numId w:val="35"/>
        </w:numPr>
        <w:rPr>
          <w:rFonts w:ascii="Arial" w:hAnsi="Arial" w:cs="Arial"/>
        </w:rPr>
      </w:pPr>
      <w:r w:rsidRPr="00851E11">
        <w:rPr>
          <w:rFonts w:ascii="Arial" w:hAnsi="Arial" w:cs="Arial"/>
        </w:rPr>
        <w:t xml:space="preserve">safer sharps devices had any proven impact on patient care outcomes. </w:t>
      </w:r>
    </w:p>
    <w:p w14:paraId="0CE034B5" w14:textId="77777777" w:rsidR="00851E11" w:rsidRDefault="00851E11" w:rsidP="00851E11">
      <w:pPr>
        <w:rPr>
          <w:rFonts w:ascii="Arial" w:hAnsi="Arial" w:cs="Arial"/>
        </w:rPr>
      </w:pPr>
      <w:r w:rsidRPr="00851E11">
        <w:rPr>
          <w:rFonts w:ascii="Arial" w:hAnsi="Arial" w:cs="Arial"/>
        </w:rPr>
        <w:t>The quality and quantity of evidence was limited, mainly due to study designs used by publishing authors. Despite this, there was sufficient published evidence to consider the use of safer sharps devices to reduce the incidence of sharps injuries amongst UK healthcare workers. Studies showed that when educational programmes were implemented alongside a safer sharps device, lower rates of sharps injuries were sustained for longer. However, the benefit attributable to education alone could not be isolated from the impact of the introduction of the safer sharps device</w:t>
      </w:r>
      <w:r>
        <w:rPr>
          <w:rFonts w:ascii="Arial" w:hAnsi="Arial" w:cs="Arial"/>
        </w:rPr>
        <w:t>.</w:t>
      </w:r>
    </w:p>
    <w:p w14:paraId="7FCFEA0B" w14:textId="5427E040" w:rsidR="00851E11" w:rsidRDefault="00851E11" w:rsidP="00851E11">
      <w:pPr>
        <w:rPr>
          <w:rFonts w:ascii="Arial" w:hAnsi="Arial" w:cs="Arial"/>
        </w:rPr>
      </w:pPr>
      <w:r w:rsidRPr="00851E11">
        <w:rPr>
          <w:rFonts w:ascii="Arial" w:hAnsi="Arial" w:cs="Arial"/>
        </w:rPr>
        <w:t>The Sharps Regulations</w:t>
      </w:r>
      <w:r>
        <w:rPr>
          <w:rFonts w:ascii="Arial" w:hAnsi="Arial" w:cs="Arial"/>
        </w:rPr>
        <w:t>:</w:t>
      </w:r>
      <w:r w:rsidRPr="00851E11">
        <w:rPr>
          <w:rFonts w:ascii="Arial" w:hAnsi="Arial" w:cs="Arial"/>
        </w:rPr>
        <w:t xml:space="preserve"> Health and Safety (Sharp Instruments </w:t>
      </w:r>
      <w:r>
        <w:rPr>
          <w:rFonts w:ascii="Arial" w:hAnsi="Arial" w:cs="Arial"/>
        </w:rPr>
        <w:t xml:space="preserve">in Healthcare) Regulations 2013, </w:t>
      </w:r>
      <w:r w:rsidRPr="00851E11">
        <w:rPr>
          <w:rFonts w:ascii="Arial" w:hAnsi="Arial" w:cs="Arial"/>
        </w:rPr>
        <w:t xml:space="preserve">build on the existing law and provide specific detail on requirements that must be taken by healthcare employers and their contractors. All employers are required under existing health and safety law to ensure that risks from sharps injuries are adequately </w:t>
      </w:r>
      <w:r w:rsidR="00E76FEB" w:rsidRPr="00851E11">
        <w:rPr>
          <w:rFonts w:ascii="Arial" w:hAnsi="Arial" w:cs="Arial"/>
        </w:rPr>
        <w:t>assessed,</w:t>
      </w:r>
      <w:r w:rsidRPr="00851E11">
        <w:rPr>
          <w:rFonts w:ascii="Arial" w:hAnsi="Arial" w:cs="Arial"/>
        </w:rPr>
        <w:t xml:space="preserve"> and appropriate control measures are in place.</w:t>
      </w:r>
      <w:r>
        <w:rPr>
          <w:rFonts w:ascii="Arial" w:hAnsi="Arial" w:cs="Arial"/>
        </w:rPr>
        <w:t xml:space="preserve"> </w:t>
      </w:r>
    </w:p>
    <w:p w14:paraId="7FED0C41" w14:textId="44826EA8" w:rsidR="00851E11" w:rsidRDefault="00851E11" w:rsidP="00851E11">
      <w:pPr>
        <w:rPr>
          <w:rFonts w:ascii="Arial" w:hAnsi="Arial" w:cs="Arial"/>
        </w:rPr>
      </w:pPr>
      <w:r w:rsidRPr="00851E11">
        <w:rPr>
          <w:rFonts w:ascii="Arial" w:hAnsi="Arial" w:cs="Arial"/>
        </w:rPr>
        <w:t>The employer must substitute traditional, unprotected medical sharps with a ‘safer sharp’ where it reasonably practicable to do so. The term ‘safer sharp’ means medical sharps that incorporate features or mechanisms to prevent or minimise the risk of accidental injury. For example, a range of syringes and needles are now available with a shield or cover that slides or pivots to cover the needle after use.</w:t>
      </w:r>
      <w:r>
        <w:rPr>
          <w:rFonts w:ascii="Arial" w:hAnsi="Arial" w:cs="Arial"/>
        </w:rPr>
        <w:t xml:space="preserve"> </w:t>
      </w:r>
    </w:p>
    <w:p w14:paraId="476371B8" w14:textId="56AABF79" w:rsidR="00851E11" w:rsidRDefault="00851E11" w:rsidP="00851E11">
      <w:pPr>
        <w:rPr>
          <w:rFonts w:ascii="Arial" w:hAnsi="Arial" w:cs="Arial"/>
          <w:b/>
          <w:color w:val="17365D" w:themeColor="text2" w:themeShade="BF"/>
          <w:u w:val="single"/>
        </w:rPr>
      </w:pPr>
      <w:r w:rsidRPr="00241015">
        <w:rPr>
          <w:rFonts w:ascii="Arial" w:hAnsi="Arial" w:cs="Arial"/>
          <w:b/>
          <w:color w:val="17365D" w:themeColor="text2" w:themeShade="BF"/>
          <w:u w:val="single"/>
        </w:rPr>
        <w:t>Recommendation</w:t>
      </w:r>
      <w:r w:rsidR="0019105B" w:rsidRPr="00241015">
        <w:rPr>
          <w:rFonts w:ascii="Arial" w:hAnsi="Arial" w:cs="Arial"/>
          <w:b/>
          <w:color w:val="17365D" w:themeColor="text2" w:themeShade="BF"/>
          <w:u w:val="single"/>
        </w:rPr>
        <w:t>:</w:t>
      </w:r>
    </w:p>
    <w:p w14:paraId="076D30F1" w14:textId="34299865" w:rsidR="00AD6434" w:rsidRPr="003D2303" w:rsidRDefault="00851E11" w:rsidP="003D2303">
      <w:pPr>
        <w:pStyle w:val="ListParagraph"/>
        <w:numPr>
          <w:ilvl w:val="0"/>
          <w:numId w:val="42"/>
        </w:numPr>
        <w:rPr>
          <w:rFonts w:ascii="Arial" w:hAnsi="Arial" w:cs="Arial"/>
        </w:rPr>
      </w:pPr>
      <w:r w:rsidRPr="00851E11">
        <w:rPr>
          <w:rFonts w:ascii="Arial" w:hAnsi="Arial" w:cs="Arial"/>
        </w:rPr>
        <w:t xml:space="preserve">Employers </w:t>
      </w:r>
      <w:r>
        <w:rPr>
          <w:rFonts w:ascii="Arial" w:hAnsi="Arial" w:cs="Arial"/>
        </w:rPr>
        <w:t>to provide their employees with safety needles</w:t>
      </w:r>
      <w:r w:rsidR="0019105B">
        <w:rPr>
          <w:rFonts w:ascii="Arial" w:hAnsi="Arial" w:cs="Arial"/>
        </w:rPr>
        <w:t xml:space="preserve"> </w:t>
      </w:r>
      <w:r w:rsidR="00E76FEB">
        <w:rPr>
          <w:rFonts w:ascii="Arial" w:hAnsi="Arial" w:cs="Arial"/>
        </w:rPr>
        <w:t xml:space="preserve">and safety lancets </w:t>
      </w:r>
      <w:r w:rsidR="0019105B">
        <w:rPr>
          <w:rFonts w:ascii="Arial" w:hAnsi="Arial" w:cs="Arial"/>
        </w:rPr>
        <w:t xml:space="preserve">and an FP10 should </w:t>
      </w:r>
      <w:r w:rsidR="0019105B" w:rsidRPr="003D2303">
        <w:rPr>
          <w:rFonts w:ascii="Arial" w:hAnsi="Arial" w:cs="Arial"/>
          <w:b/>
          <w:bCs/>
        </w:rPr>
        <w:t>not</w:t>
      </w:r>
      <w:r w:rsidR="0019105B">
        <w:rPr>
          <w:rFonts w:ascii="Arial" w:hAnsi="Arial" w:cs="Arial"/>
        </w:rPr>
        <w:t xml:space="preserve"> be generated </w:t>
      </w:r>
      <w:r w:rsidR="0019105B" w:rsidRPr="00241015">
        <w:rPr>
          <w:rFonts w:ascii="Arial" w:hAnsi="Arial" w:cs="Arial"/>
          <w:b/>
          <w:bCs/>
        </w:rPr>
        <w:t>unless</w:t>
      </w:r>
      <w:r w:rsidR="0019105B">
        <w:rPr>
          <w:rFonts w:ascii="Arial" w:hAnsi="Arial" w:cs="Arial"/>
        </w:rPr>
        <w:t>:</w:t>
      </w:r>
    </w:p>
    <w:p w14:paraId="0485B882" w14:textId="3AB9B494" w:rsidR="003D2303" w:rsidRDefault="0019105B" w:rsidP="003D2303">
      <w:pPr>
        <w:pStyle w:val="ListParagraph"/>
        <w:numPr>
          <w:ilvl w:val="0"/>
          <w:numId w:val="43"/>
        </w:numPr>
        <w:rPr>
          <w:rFonts w:ascii="Arial" w:hAnsi="Arial" w:cs="Arial"/>
        </w:rPr>
      </w:pPr>
      <w:r>
        <w:rPr>
          <w:rFonts w:ascii="Arial" w:hAnsi="Arial" w:cs="Arial"/>
        </w:rPr>
        <w:t xml:space="preserve">for </w:t>
      </w:r>
      <w:r w:rsidR="00851E11" w:rsidRPr="00AD6434">
        <w:rPr>
          <w:rFonts w:ascii="Arial" w:hAnsi="Arial" w:cs="Arial"/>
        </w:rPr>
        <w:t xml:space="preserve">patients whose insulin is administered by a </w:t>
      </w:r>
      <w:r w:rsidR="00851E11" w:rsidRPr="0019105B">
        <w:rPr>
          <w:rFonts w:ascii="Arial" w:hAnsi="Arial" w:cs="Arial"/>
          <w:b/>
          <w:bCs/>
        </w:rPr>
        <w:t>non-professional healthcare worker</w:t>
      </w:r>
      <w:r w:rsidR="003D2303">
        <w:rPr>
          <w:rFonts w:ascii="Arial" w:hAnsi="Arial" w:cs="Arial"/>
          <w:b/>
          <w:bCs/>
        </w:rPr>
        <w:t xml:space="preserve"> </w:t>
      </w:r>
      <w:r w:rsidR="003D2303" w:rsidRPr="003D2303">
        <w:rPr>
          <w:rFonts w:ascii="Arial" w:hAnsi="Arial" w:cs="Arial"/>
        </w:rPr>
        <w:t>who has been appropriately trained</w:t>
      </w:r>
      <w:r w:rsidR="00851E11" w:rsidRPr="00AD6434">
        <w:rPr>
          <w:rFonts w:ascii="Arial" w:hAnsi="Arial" w:cs="Arial"/>
        </w:rPr>
        <w:t xml:space="preserve">, e.g. carer or relative </w:t>
      </w:r>
    </w:p>
    <w:p w14:paraId="015176C6" w14:textId="77777777" w:rsidR="003D2303" w:rsidRDefault="003D2303" w:rsidP="003D2303">
      <w:pPr>
        <w:pStyle w:val="ListParagraph"/>
        <w:ind w:left="1724"/>
        <w:rPr>
          <w:rFonts w:ascii="Arial" w:hAnsi="Arial" w:cs="Arial"/>
        </w:rPr>
      </w:pPr>
    </w:p>
    <w:p w14:paraId="512C3D47" w14:textId="449E35E0" w:rsidR="00AD6434" w:rsidRPr="003D2303" w:rsidRDefault="00AD6434" w:rsidP="003D2303">
      <w:pPr>
        <w:pStyle w:val="ListParagraph"/>
        <w:ind w:left="1724"/>
        <w:rPr>
          <w:rFonts w:ascii="Arial" w:hAnsi="Arial" w:cs="Arial"/>
        </w:rPr>
      </w:pPr>
      <w:r w:rsidRPr="003D2303">
        <w:rPr>
          <w:rFonts w:ascii="Arial" w:hAnsi="Arial" w:cs="Arial"/>
        </w:rPr>
        <w:t xml:space="preserve"> </w:t>
      </w:r>
      <w:r w:rsidR="00851E11" w:rsidRPr="003D2303">
        <w:rPr>
          <w:rFonts w:ascii="Arial" w:hAnsi="Arial" w:cs="Arial"/>
          <w:b/>
          <w:bCs/>
        </w:rPr>
        <w:t>AND</w:t>
      </w:r>
      <w:r w:rsidR="00851E11" w:rsidRPr="003D2303">
        <w:rPr>
          <w:rFonts w:ascii="Arial" w:hAnsi="Arial" w:cs="Arial"/>
        </w:rPr>
        <w:t xml:space="preserve"> where the patient is known to have a blood born virus e.g. HIV </w:t>
      </w:r>
    </w:p>
    <w:p w14:paraId="55E7DB43" w14:textId="77777777" w:rsidR="00AD6434" w:rsidRDefault="00AD6434" w:rsidP="00AD6434">
      <w:pPr>
        <w:pStyle w:val="ListParagraph"/>
        <w:ind w:left="644"/>
        <w:rPr>
          <w:rFonts w:ascii="Arial" w:hAnsi="Arial" w:cs="Arial"/>
        </w:rPr>
      </w:pPr>
    </w:p>
    <w:p w14:paraId="218B0946" w14:textId="1A68DBD7" w:rsidR="00AD6434" w:rsidRDefault="00AD6434" w:rsidP="003D2303">
      <w:pPr>
        <w:pStyle w:val="ListParagraph"/>
        <w:ind w:left="1724"/>
        <w:rPr>
          <w:rFonts w:ascii="Arial" w:hAnsi="Arial" w:cs="Arial"/>
        </w:rPr>
      </w:pPr>
      <w:r w:rsidRPr="0019105B">
        <w:rPr>
          <w:rFonts w:ascii="Arial" w:hAnsi="Arial" w:cs="Arial"/>
          <w:b/>
          <w:bCs/>
        </w:rPr>
        <w:t>OR</w:t>
      </w:r>
      <w:r w:rsidRPr="00AD6434">
        <w:rPr>
          <w:rFonts w:ascii="Arial" w:hAnsi="Arial" w:cs="Arial"/>
        </w:rPr>
        <w:t xml:space="preserve"> </w:t>
      </w:r>
      <w:r w:rsidR="00851E11" w:rsidRPr="00AD6434">
        <w:rPr>
          <w:rFonts w:ascii="Arial" w:hAnsi="Arial" w:cs="Arial"/>
        </w:rPr>
        <w:t>known to be aggressive – some dementia patients can become aggressive</w:t>
      </w:r>
      <w:r>
        <w:rPr>
          <w:rFonts w:ascii="Arial" w:hAnsi="Arial" w:cs="Arial"/>
        </w:rPr>
        <w:t xml:space="preserve"> </w:t>
      </w:r>
      <w:r w:rsidR="00851E11" w:rsidRPr="00AD6434">
        <w:rPr>
          <w:rFonts w:ascii="Arial" w:hAnsi="Arial" w:cs="Arial"/>
        </w:rPr>
        <w:t xml:space="preserve">when insulin injections are needed. </w:t>
      </w:r>
    </w:p>
    <w:p w14:paraId="2CB3E12B" w14:textId="77777777" w:rsidR="003D2303" w:rsidRDefault="003D2303" w:rsidP="003D2303">
      <w:pPr>
        <w:pStyle w:val="ListParagraph"/>
        <w:ind w:left="1724"/>
        <w:rPr>
          <w:rFonts w:ascii="Arial" w:hAnsi="Arial" w:cs="Arial"/>
        </w:rPr>
      </w:pPr>
    </w:p>
    <w:p w14:paraId="391A769D" w14:textId="23DA89AC" w:rsidR="00B4063A" w:rsidRPr="003D2303" w:rsidRDefault="00AD6434" w:rsidP="003D2303">
      <w:pPr>
        <w:pStyle w:val="ListParagraph"/>
        <w:numPr>
          <w:ilvl w:val="0"/>
          <w:numId w:val="42"/>
        </w:numPr>
        <w:rPr>
          <w:rFonts w:ascii="Arial" w:hAnsi="Arial" w:cs="Arial"/>
        </w:rPr>
      </w:pPr>
      <w:r w:rsidRPr="003D2303">
        <w:rPr>
          <w:rFonts w:ascii="Arial" w:hAnsi="Arial" w:cs="Arial"/>
        </w:rPr>
        <w:t>Where safety needles</w:t>
      </w:r>
      <w:r w:rsidR="00E76FEB" w:rsidRPr="003D2303">
        <w:rPr>
          <w:rFonts w:ascii="Arial" w:hAnsi="Arial" w:cs="Arial"/>
        </w:rPr>
        <w:t xml:space="preserve"> and lancets</w:t>
      </w:r>
      <w:r w:rsidRPr="003D2303">
        <w:rPr>
          <w:rFonts w:ascii="Arial" w:hAnsi="Arial" w:cs="Arial"/>
        </w:rPr>
        <w:t xml:space="preserve"> are to be prescribed the most cost</w:t>
      </w:r>
      <w:r w:rsidR="00E76FEB" w:rsidRPr="003D2303">
        <w:rPr>
          <w:rFonts w:ascii="Arial" w:hAnsi="Arial" w:cs="Arial"/>
        </w:rPr>
        <w:t>-</w:t>
      </w:r>
      <w:r w:rsidRPr="003D2303">
        <w:rPr>
          <w:rFonts w:ascii="Arial" w:hAnsi="Arial" w:cs="Arial"/>
        </w:rPr>
        <w:t xml:space="preserve"> </w:t>
      </w:r>
      <w:r w:rsidR="00E76FEB" w:rsidRPr="003D2303">
        <w:rPr>
          <w:rFonts w:ascii="Arial" w:hAnsi="Arial" w:cs="Arial"/>
        </w:rPr>
        <w:t>e</w:t>
      </w:r>
      <w:r w:rsidRPr="003D2303">
        <w:rPr>
          <w:rFonts w:ascii="Arial" w:hAnsi="Arial" w:cs="Arial"/>
        </w:rPr>
        <w:t xml:space="preserve">ffective </w:t>
      </w:r>
      <w:r w:rsidR="00241015">
        <w:rPr>
          <w:rFonts w:ascii="Arial" w:hAnsi="Arial" w:cs="Arial"/>
        </w:rPr>
        <w:t xml:space="preserve">product should be chosen that is </w:t>
      </w:r>
      <w:r w:rsidR="00AD60B6" w:rsidRPr="00241015">
        <w:rPr>
          <w:rFonts w:ascii="Arial" w:hAnsi="Arial" w:cs="Arial"/>
          <w:b/>
          <w:bCs/>
        </w:rPr>
        <w:t>&lt;</w:t>
      </w:r>
      <w:r w:rsidR="00E76FEB" w:rsidRPr="00241015">
        <w:rPr>
          <w:rFonts w:ascii="Arial" w:hAnsi="Arial" w:cs="Arial"/>
          <w:b/>
          <w:bCs/>
        </w:rPr>
        <w:t>£</w:t>
      </w:r>
      <w:r w:rsidR="00241015">
        <w:rPr>
          <w:rFonts w:ascii="Arial" w:hAnsi="Arial" w:cs="Arial"/>
          <w:b/>
          <w:bCs/>
        </w:rPr>
        <w:t>5</w:t>
      </w:r>
      <w:r w:rsidRPr="00241015">
        <w:rPr>
          <w:rFonts w:ascii="Arial" w:hAnsi="Arial" w:cs="Arial"/>
          <w:b/>
          <w:bCs/>
        </w:rPr>
        <w:t xml:space="preserve"> </w:t>
      </w:r>
      <w:r w:rsidR="00E76FEB" w:rsidRPr="00241015">
        <w:rPr>
          <w:rFonts w:ascii="Arial" w:hAnsi="Arial" w:cs="Arial"/>
          <w:b/>
          <w:bCs/>
        </w:rPr>
        <w:t>AND &lt;</w:t>
      </w:r>
      <w:r w:rsidR="00AD60B6" w:rsidRPr="00241015">
        <w:rPr>
          <w:rFonts w:ascii="Arial" w:hAnsi="Arial" w:cs="Arial"/>
          <w:b/>
          <w:bCs/>
        </w:rPr>
        <w:t>£</w:t>
      </w:r>
      <w:r w:rsidR="00241015">
        <w:rPr>
          <w:rFonts w:ascii="Arial" w:hAnsi="Arial" w:cs="Arial"/>
          <w:b/>
          <w:bCs/>
        </w:rPr>
        <w:t>3</w:t>
      </w:r>
      <w:r w:rsidR="00AD60B6" w:rsidRPr="00241015">
        <w:rPr>
          <w:rFonts w:ascii="Arial" w:hAnsi="Arial" w:cs="Arial"/>
          <w:b/>
          <w:bCs/>
        </w:rPr>
        <w:t xml:space="preserve"> respectively</w:t>
      </w:r>
      <w:r w:rsidR="00241015">
        <w:rPr>
          <w:rFonts w:ascii="Arial" w:hAnsi="Arial" w:cs="Arial"/>
          <w:b/>
          <w:bCs/>
        </w:rPr>
        <w:t>.</w:t>
      </w:r>
    </w:p>
    <w:p w14:paraId="76F89A76" w14:textId="3A4A9D40" w:rsidR="00B4063A" w:rsidRDefault="00B4063A" w:rsidP="00851E11">
      <w:pPr>
        <w:pStyle w:val="ListParagraph"/>
        <w:ind w:left="1080"/>
        <w:rPr>
          <w:rFonts w:ascii="Arial" w:hAnsi="Arial" w:cs="Arial"/>
        </w:rPr>
      </w:pPr>
    </w:p>
    <w:p w14:paraId="5B7F67CE" w14:textId="52B62536" w:rsidR="00B4063A" w:rsidRDefault="00B4063A" w:rsidP="00851E11">
      <w:pPr>
        <w:pStyle w:val="ListParagraph"/>
        <w:ind w:left="1080"/>
        <w:rPr>
          <w:rFonts w:ascii="Arial" w:hAnsi="Arial" w:cs="Arial"/>
        </w:rPr>
      </w:pPr>
    </w:p>
    <w:p w14:paraId="30BE6EAC" w14:textId="14A87F19" w:rsidR="00624567" w:rsidRDefault="00624567" w:rsidP="00851E11">
      <w:pPr>
        <w:pStyle w:val="ListParagraph"/>
        <w:ind w:left="1080"/>
        <w:rPr>
          <w:rFonts w:ascii="Arial" w:hAnsi="Arial" w:cs="Arial"/>
        </w:rPr>
      </w:pPr>
    </w:p>
    <w:p w14:paraId="1F20A7EB" w14:textId="411EA387" w:rsidR="00624567" w:rsidRDefault="00624567" w:rsidP="00851E11">
      <w:pPr>
        <w:pStyle w:val="ListParagraph"/>
        <w:ind w:left="1080"/>
        <w:rPr>
          <w:rFonts w:ascii="Arial" w:hAnsi="Arial" w:cs="Arial"/>
        </w:rPr>
      </w:pPr>
      <w:r>
        <w:rPr>
          <w:rFonts w:ascii="Arial" w:hAnsi="Arial" w:cs="Arial"/>
        </w:rPr>
        <w:t xml:space="preserve">References: </w:t>
      </w:r>
    </w:p>
    <w:p w14:paraId="4F74387A" w14:textId="4C6BD808" w:rsidR="00624567" w:rsidRPr="00624567" w:rsidRDefault="00624567" w:rsidP="00624567">
      <w:pPr>
        <w:pStyle w:val="ListParagraph"/>
        <w:numPr>
          <w:ilvl w:val="0"/>
          <w:numId w:val="38"/>
        </w:numPr>
        <w:rPr>
          <w:rFonts w:ascii="Arial" w:hAnsi="Arial" w:cs="Arial"/>
        </w:rPr>
      </w:pPr>
      <w:r>
        <w:t xml:space="preserve">NHSE and NHS Improvement:  </w:t>
      </w:r>
      <w:r w:rsidRPr="00624567">
        <w:rPr>
          <w:i/>
        </w:rPr>
        <w:t>Items which should not routinely be prescribed in primary care: Guidance for CCGs</w:t>
      </w:r>
      <w:r>
        <w:t xml:space="preserve"> ; Version 2, June 2019  </w:t>
      </w:r>
      <w:hyperlink r:id="rId17" w:history="1">
        <w:r w:rsidRPr="0072102F">
          <w:rPr>
            <w:rStyle w:val="Hyperlink"/>
          </w:rPr>
          <w:t>https://www.england.nhs.uk/wp-content/uploads/2019/08/items-which-should-not-routinely-be-prescribed-in-primary-care-v2.1.pdf</w:t>
        </w:r>
      </w:hyperlink>
      <w:r>
        <w:t xml:space="preserve"> ( accessed </w:t>
      </w:r>
      <w:r w:rsidR="003D2303">
        <w:t>Feb 23</w:t>
      </w:r>
      <w:r>
        <w:t>)</w:t>
      </w:r>
    </w:p>
    <w:p w14:paraId="06C52044" w14:textId="542106D7" w:rsidR="00624567" w:rsidRDefault="00624567" w:rsidP="00624567">
      <w:pPr>
        <w:pStyle w:val="ListParagraph"/>
        <w:numPr>
          <w:ilvl w:val="0"/>
          <w:numId w:val="38"/>
        </w:numPr>
        <w:rPr>
          <w:rFonts w:ascii="Arial" w:hAnsi="Arial" w:cs="Arial"/>
          <w:i/>
        </w:rPr>
      </w:pPr>
      <w:r>
        <w:rPr>
          <w:rFonts w:ascii="Arial" w:hAnsi="Arial" w:cs="Arial"/>
        </w:rPr>
        <w:t xml:space="preserve">Health and Safety Executive Information sheet: </w:t>
      </w:r>
      <w:r w:rsidRPr="00624567">
        <w:rPr>
          <w:rFonts w:ascii="Arial" w:hAnsi="Arial" w:cs="Arial"/>
          <w:i/>
        </w:rPr>
        <w:t>Health and Safety (Sharp Instruments in Healthcare) Regulations 2013 Guidance for employers and employees</w:t>
      </w:r>
      <w:r>
        <w:rPr>
          <w:rFonts w:ascii="Arial" w:hAnsi="Arial" w:cs="Arial"/>
          <w:i/>
        </w:rPr>
        <w:t xml:space="preserve"> </w:t>
      </w:r>
      <w:hyperlink r:id="rId18" w:history="1">
        <w:r w:rsidRPr="0072102F">
          <w:rPr>
            <w:rStyle w:val="Hyperlink"/>
            <w:rFonts w:ascii="Arial" w:hAnsi="Arial" w:cs="Arial"/>
            <w:i/>
          </w:rPr>
          <w:t>https://www.hse.gov.uk/pubns/hsis7.pdf</w:t>
        </w:r>
      </w:hyperlink>
      <w:r>
        <w:rPr>
          <w:rFonts w:ascii="Arial" w:hAnsi="Arial" w:cs="Arial"/>
          <w:i/>
        </w:rPr>
        <w:t xml:space="preserve"> </w:t>
      </w:r>
      <w:r w:rsidRPr="00624567">
        <w:rPr>
          <w:rFonts w:ascii="Arial" w:hAnsi="Arial" w:cs="Arial"/>
        </w:rPr>
        <w:t>(</w:t>
      </w:r>
      <w:r>
        <w:rPr>
          <w:rFonts w:ascii="Arial" w:hAnsi="Arial" w:cs="Arial"/>
        </w:rPr>
        <w:t xml:space="preserve">accessed </w:t>
      </w:r>
      <w:r w:rsidR="003D2303">
        <w:rPr>
          <w:rFonts w:ascii="Arial" w:hAnsi="Arial" w:cs="Arial"/>
        </w:rPr>
        <w:t>Feb 23</w:t>
      </w:r>
      <w:r>
        <w:rPr>
          <w:rFonts w:ascii="Arial" w:hAnsi="Arial" w:cs="Arial"/>
        </w:rPr>
        <w:t xml:space="preserve">) </w:t>
      </w:r>
    </w:p>
    <w:p w14:paraId="626B96F7" w14:textId="3AEC21A3" w:rsidR="00624567" w:rsidRDefault="00624567" w:rsidP="00624567">
      <w:pPr>
        <w:pStyle w:val="ListParagraph"/>
        <w:numPr>
          <w:ilvl w:val="0"/>
          <w:numId w:val="38"/>
        </w:numPr>
        <w:rPr>
          <w:rFonts w:ascii="Arial" w:hAnsi="Arial" w:cs="Arial"/>
          <w:i/>
        </w:rPr>
      </w:pPr>
      <w:r>
        <w:rPr>
          <w:rFonts w:ascii="Arial" w:hAnsi="Arial" w:cs="Arial"/>
          <w:i/>
        </w:rPr>
        <w:t xml:space="preserve">Drug tariff </w:t>
      </w:r>
      <w:hyperlink r:id="rId19" w:history="1">
        <w:r w:rsidR="003D2303" w:rsidRPr="00C9334A">
          <w:rPr>
            <w:rStyle w:val="Hyperlink"/>
          </w:rPr>
          <w:t>https://www.nhsbsa.nhs.uk/sites/default/files/2023-01/Drug%20Tariff%20February%202023.pdf</w:t>
        </w:r>
      </w:hyperlink>
      <w:r w:rsidR="003D2303">
        <w:t xml:space="preserve"> </w:t>
      </w:r>
      <w:r>
        <w:rPr>
          <w:rFonts w:ascii="Arial" w:hAnsi="Arial" w:cs="Arial"/>
          <w:i/>
        </w:rPr>
        <w:t xml:space="preserve"> </w:t>
      </w:r>
      <w:r>
        <w:rPr>
          <w:rFonts w:ascii="Arial" w:hAnsi="Arial" w:cs="Arial"/>
        </w:rPr>
        <w:t xml:space="preserve">(accessed </w:t>
      </w:r>
      <w:r w:rsidR="003D2303">
        <w:rPr>
          <w:rFonts w:ascii="Arial" w:hAnsi="Arial" w:cs="Arial"/>
        </w:rPr>
        <w:t>Feb 23</w:t>
      </w:r>
      <w:r>
        <w:rPr>
          <w:rFonts w:ascii="Arial" w:hAnsi="Arial" w:cs="Arial"/>
        </w:rPr>
        <w:t xml:space="preserve">) </w:t>
      </w:r>
    </w:p>
    <w:p w14:paraId="6B05309D" w14:textId="77777777" w:rsidR="00624567" w:rsidRPr="00624567" w:rsidRDefault="00624567" w:rsidP="00624567">
      <w:pPr>
        <w:pStyle w:val="ListParagraph"/>
        <w:ind w:left="1440"/>
        <w:rPr>
          <w:rFonts w:ascii="Arial" w:hAnsi="Arial" w:cs="Arial"/>
          <w:i/>
        </w:rPr>
      </w:pPr>
    </w:p>
    <w:sectPr w:rsidR="00624567" w:rsidRPr="00624567" w:rsidSect="003D2303">
      <w:pgSz w:w="11906" w:h="16838"/>
      <w:pgMar w:top="1440" w:right="1440" w:bottom="1440" w:left="144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0E01C" w14:textId="77777777" w:rsidR="00315D95" w:rsidRDefault="00315D95" w:rsidP="00CA2C93">
      <w:pPr>
        <w:spacing w:after="0" w:line="240" w:lineRule="auto"/>
      </w:pPr>
      <w:r>
        <w:separator/>
      </w:r>
    </w:p>
  </w:endnote>
  <w:endnote w:type="continuationSeparator" w:id="0">
    <w:p w14:paraId="0206A1E0" w14:textId="77777777" w:rsidR="00315D95" w:rsidRDefault="00315D95" w:rsidP="00CA2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1B7C" w14:textId="67B1F586" w:rsidR="00127748" w:rsidRDefault="00AD60B6">
    <w:pPr>
      <w:pStyle w:val="Footer"/>
    </w:pPr>
    <w:r>
      <w:t>Perminder Oberai, Diabetes Specialist Pharmacist                                           Review April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617D" w14:textId="7414A672" w:rsidR="00AD60B6" w:rsidRDefault="00AD60B6">
    <w:pPr>
      <w:pStyle w:val="Footer"/>
    </w:pPr>
    <w:r>
      <w:t>Perminder Oberai: Diabetes Specialist Pharmacist                                           Review April 2025</w:t>
    </w:r>
  </w:p>
  <w:p w14:paraId="2175B4B6" w14:textId="77777777" w:rsidR="00AD60B6" w:rsidRDefault="00AD6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11857" w14:textId="77777777" w:rsidR="00315D95" w:rsidRDefault="00315D95" w:rsidP="00CA2C93">
      <w:pPr>
        <w:spacing w:after="0" w:line="240" w:lineRule="auto"/>
      </w:pPr>
      <w:r>
        <w:separator/>
      </w:r>
    </w:p>
  </w:footnote>
  <w:footnote w:type="continuationSeparator" w:id="0">
    <w:p w14:paraId="224FD7B6" w14:textId="77777777" w:rsidR="00315D95" w:rsidRDefault="00315D95" w:rsidP="00CA2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A160" w14:textId="7423DF56" w:rsidR="00315D95" w:rsidRDefault="00972715">
    <w:pPr>
      <w:pStyle w:val="Header"/>
    </w:pPr>
    <w:r>
      <w:rPr>
        <w:noProof/>
      </w:rPr>
      <w:pict w14:anchorId="471B0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02347" o:spid="_x0000_s2053" type="#_x0000_t136" style="position:absolute;margin-left:0;margin-top:0;width:424.2pt;height:212.1pt;rotation:315;z-index:-251649024;mso-position-horizontal:center;mso-position-horizontal-relative:margin;mso-position-vertical:center;mso-position-vertical-relative:margin" o:allowincell="f" fillcolor="silver" stroked="f">
          <v:fill opacity=".5"/>
          <v:textpath style="font-family:&quot;Calibri&quot;;font-size:1pt" string="DRAF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00299"/>
      <w:docPartObj>
        <w:docPartGallery w:val="Page Numbers (Top of Page)"/>
        <w:docPartUnique/>
      </w:docPartObj>
    </w:sdtPr>
    <w:sdtEndPr>
      <w:rPr>
        <w:noProof/>
      </w:rPr>
    </w:sdtEndPr>
    <w:sdtContent>
      <w:p w14:paraId="7A7EDB23" w14:textId="7C9BCD15" w:rsidR="00AD60B6" w:rsidRDefault="00AD60B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62A2A93" w14:textId="31A68B7E" w:rsidR="00315D95" w:rsidRDefault="00972715">
    <w:pPr>
      <w:pStyle w:val="Header"/>
    </w:pPr>
    <w:r>
      <w:rPr>
        <w:noProof/>
      </w:rPr>
      <w:pict w14:anchorId="6B081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02348" o:spid="_x0000_s2054" type="#_x0000_t136" style="position:absolute;margin-left:0;margin-top:0;width:424.2pt;height:212.1pt;rotation:315;z-index:-251646976;mso-position-horizontal:center;mso-position-horizontal-relative:margin;mso-position-vertical:center;mso-position-vertical-relative:margin" o:allowincell="f" fillcolor="silver" stroked="f">
          <v:fill opacity=".5"/>
          <v:textpath style="font-family:&quot;Calibri&quot;;font-size:1pt" string="DRAF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036054"/>
      <w:docPartObj>
        <w:docPartGallery w:val="Page Numbers (Top of Page)"/>
        <w:docPartUnique/>
      </w:docPartObj>
    </w:sdtPr>
    <w:sdtEndPr>
      <w:rPr>
        <w:noProof/>
      </w:rPr>
    </w:sdtEndPr>
    <w:sdtContent>
      <w:p w14:paraId="20796205" w14:textId="509F98B6" w:rsidR="00AD60B6" w:rsidRDefault="00AD60B6">
        <w:pPr>
          <w:pStyle w:val="Header"/>
        </w:pPr>
        <w:r>
          <w:fldChar w:fldCharType="begin"/>
        </w:r>
        <w:r>
          <w:instrText xml:space="preserve"> PAGE   \* MERGEFORMAT </w:instrText>
        </w:r>
        <w:r>
          <w:fldChar w:fldCharType="separate"/>
        </w:r>
        <w:r>
          <w:rPr>
            <w:noProof/>
          </w:rPr>
          <w:t>2</w:t>
        </w:r>
        <w:r>
          <w:rPr>
            <w:noProof/>
          </w:rPr>
          <w:fldChar w:fldCharType="end"/>
        </w:r>
      </w:p>
    </w:sdtContent>
  </w:sdt>
  <w:p w14:paraId="4201490C" w14:textId="51C43ECC" w:rsidR="00315D95" w:rsidRDefault="00972715" w:rsidP="009C4549">
    <w:pPr>
      <w:pStyle w:val="Header"/>
      <w:jc w:val="center"/>
    </w:pPr>
    <w:r>
      <w:rPr>
        <w:noProof/>
      </w:rPr>
      <w:pict w14:anchorId="4A8B0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02346" o:spid="_x0000_s2052" type="#_x0000_t136" style="position:absolute;left:0;text-align:left;margin-left:0;margin-top:0;width:424.2pt;height:212.1pt;rotation:315;z-index:-251651072;mso-position-horizontal:center;mso-position-horizontal-relative:margin;mso-position-vertical:center;mso-position-vertical-relative:margin" o:allowincell="f" fillcolor="silver" stroked="f">
          <v:fill opacity=".5"/>
          <v:textpath style="font-family:&quot;Calibri&quot;;font-size:1pt" string="DRAF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D7F"/>
    <w:multiLevelType w:val="hybridMultilevel"/>
    <w:tmpl w:val="D1ECF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B149C"/>
    <w:multiLevelType w:val="hybridMultilevel"/>
    <w:tmpl w:val="FF5E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04F92"/>
    <w:multiLevelType w:val="hybridMultilevel"/>
    <w:tmpl w:val="8B70AB80"/>
    <w:lvl w:ilvl="0" w:tplc="DC5E808A">
      <w:start w:val="1"/>
      <w:numFmt w:val="decimal"/>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19C6758C"/>
    <w:multiLevelType w:val="hybridMultilevel"/>
    <w:tmpl w:val="B9CC3C7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15:restartNumberingAfterBreak="0">
    <w:nsid w:val="1B070758"/>
    <w:multiLevelType w:val="hybridMultilevel"/>
    <w:tmpl w:val="C1F45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2366B"/>
    <w:multiLevelType w:val="hybridMultilevel"/>
    <w:tmpl w:val="CC36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47C75"/>
    <w:multiLevelType w:val="hybridMultilevel"/>
    <w:tmpl w:val="AFBC5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96FC2"/>
    <w:multiLevelType w:val="hybridMultilevel"/>
    <w:tmpl w:val="869EE05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F5A428B"/>
    <w:multiLevelType w:val="hybridMultilevel"/>
    <w:tmpl w:val="1930917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36906ED8"/>
    <w:multiLevelType w:val="hybridMultilevel"/>
    <w:tmpl w:val="42FA0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380424B0"/>
    <w:multiLevelType w:val="hybridMultilevel"/>
    <w:tmpl w:val="3B104276"/>
    <w:lvl w:ilvl="0" w:tplc="09207176">
      <w:numFmt w:val="bullet"/>
      <w:lvlText w:val="•"/>
      <w:lvlJc w:val="left"/>
      <w:pPr>
        <w:ind w:left="1140" w:hanging="360"/>
      </w:pPr>
      <w:rPr>
        <w:rFonts w:ascii="Arial" w:eastAsiaTheme="minorEastAsia"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C13744C"/>
    <w:multiLevelType w:val="hybridMultilevel"/>
    <w:tmpl w:val="A5CAAE1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EA15723"/>
    <w:multiLevelType w:val="hybridMultilevel"/>
    <w:tmpl w:val="3B36E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2F4094"/>
    <w:multiLevelType w:val="hybridMultilevel"/>
    <w:tmpl w:val="752C8B50"/>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4" w15:restartNumberingAfterBreak="0">
    <w:nsid w:val="499C2FFF"/>
    <w:multiLevelType w:val="hybridMultilevel"/>
    <w:tmpl w:val="F642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9A038C"/>
    <w:multiLevelType w:val="hybridMultilevel"/>
    <w:tmpl w:val="0ACA62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DE460E5"/>
    <w:multiLevelType w:val="hybridMultilevel"/>
    <w:tmpl w:val="D4C40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9A41E3"/>
    <w:multiLevelType w:val="hybridMultilevel"/>
    <w:tmpl w:val="9C7257A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2683564"/>
    <w:multiLevelType w:val="hybridMultilevel"/>
    <w:tmpl w:val="17B8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A83F85"/>
    <w:multiLevelType w:val="hybridMultilevel"/>
    <w:tmpl w:val="17A45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E75CF"/>
    <w:multiLevelType w:val="hybridMultilevel"/>
    <w:tmpl w:val="083EA9A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4E34E6"/>
    <w:multiLevelType w:val="hybridMultilevel"/>
    <w:tmpl w:val="71A8A9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5795355B"/>
    <w:multiLevelType w:val="hybridMultilevel"/>
    <w:tmpl w:val="71DC66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6B4F56"/>
    <w:multiLevelType w:val="hybridMultilevel"/>
    <w:tmpl w:val="9D8806F0"/>
    <w:lvl w:ilvl="0" w:tplc="EF8A2BA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114F2F"/>
    <w:multiLevelType w:val="hybridMultilevel"/>
    <w:tmpl w:val="F28E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356937"/>
    <w:multiLevelType w:val="hybridMultilevel"/>
    <w:tmpl w:val="7710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D1A56"/>
    <w:multiLevelType w:val="hybridMultilevel"/>
    <w:tmpl w:val="1E30A298"/>
    <w:lvl w:ilvl="0" w:tplc="0920717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552B8"/>
    <w:multiLevelType w:val="hybridMultilevel"/>
    <w:tmpl w:val="FAECC578"/>
    <w:lvl w:ilvl="0" w:tplc="08090011">
      <w:start w:val="1"/>
      <w:numFmt w:val="decimal"/>
      <w:lvlText w:val="%1)"/>
      <w:lvlJc w:val="left"/>
      <w:pPr>
        <w:ind w:left="360" w:hanging="360"/>
      </w:pPr>
      <w:rPr>
        <w:rFonts w:hint="default"/>
      </w:rPr>
    </w:lvl>
    <w:lvl w:ilvl="1" w:tplc="09207176">
      <w:numFmt w:val="bullet"/>
      <w:lvlText w:val="•"/>
      <w:lvlJc w:val="left"/>
      <w:pPr>
        <w:ind w:left="1080" w:hanging="360"/>
      </w:pPr>
      <w:rPr>
        <w:rFonts w:ascii="Arial" w:eastAsiaTheme="minorEastAsia"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2EF2A4D"/>
    <w:multiLevelType w:val="hybridMultilevel"/>
    <w:tmpl w:val="FB8848D0"/>
    <w:lvl w:ilvl="0" w:tplc="8092E46E">
      <w:start w:val="1"/>
      <w:numFmt w:val="decimal"/>
      <w:lvlText w:val="%1)"/>
      <w:lvlJc w:val="left"/>
      <w:pPr>
        <w:ind w:left="360" w:hanging="360"/>
      </w:pPr>
      <w:rPr>
        <w:rFonts w:hint="default"/>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5C9296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6B90307"/>
    <w:multiLevelType w:val="hybridMultilevel"/>
    <w:tmpl w:val="A1167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F74F14"/>
    <w:multiLevelType w:val="hybridMultilevel"/>
    <w:tmpl w:val="D8AE1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B2E5C"/>
    <w:multiLevelType w:val="hybridMultilevel"/>
    <w:tmpl w:val="9C4A2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791B5E"/>
    <w:multiLevelType w:val="hybridMultilevel"/>
    <w:tmpl w:val="4A46D32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6E840745"/>
    <w:multiLevelType w:val="hybridMultilevel"/>
    <w:tmpl w:val="2F344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871CE2"/>
    <w:multiLevelType w:val="hybridMultilevel"/>
    <w:tmpl w:val="9650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091D9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2E054E0"/>
    <w:multiLevelType w:val="hybridMultilevel"/>
    <w:tmpl w:val="DD58F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4D84C31"/>
    <w:multiLevelType w:val="hybridMultilevel"/>
    <w:tmpl w:val="FF46E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472366"/>
    <w:multiLevelType w:val="hybridMultilevel"/>
    <w:tmpl w:val="61A44010"/>
    <w:lvl w:ilvl="0" w:tplc="09207176">
      <w:numFmt w:val="bullet"/>
      <w:lvlText w:val="•"/>
      <w:lvlJc w:val="left"/>
      <w:pPr>
        <w:ind w:left="360" w:hanging="360"/>
      </w:pPr>
      <w:rPr>
        <w:rFonts w:ascii="Arial" w:eastAsiaTheme="minorEastAsia" w:hAnsi="Arial" w:cs="Arial" w:hint="default"/>
      </w:rPr>
    </w:lvl>
    <w:lvl w:ilvl="1" w:tplc="09207176">
      <w:numFmt w:val="bullet"/>
      <w:lvlText w:val="•"/>
      <w:lvlJc w:val="left"/>
      <w:pPr>
        <w:ind w:left="1080" w:hanging="360"/>
      </w:pPr>
      <w:rPr>
        <w:rFonts w:ascii="Arial" w:eastAsiaTheme="minorEastAsia"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A3D3FD2"/>
    <w:multiLevelType w:val="hybridMultilevel"/>
    <w:tmpl w:val="24E4B0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CC73CE3"/>
    <w:multiLevelType w:val="hybridMultilevel"/>
    <w:tmpl w:val="78B660F8"/>
    <w:lvl w:ilvl="0" w:tplc="C6F09CF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173758759">
    <w:abstractNumId w:val="14"/>
  </w:num>
  <w:num w:numId="2" w16cid:durableId="449710730">
    <w:abstractNumId w:val="22"/>
  </w:num>
  <w:num w:numId="3" w16cid:durableId="2093962320">
    <w:abstractNumId w:val="30"/>
  </w:num>
  <w:num w:numId="4" w16cid:durableId="2140414492">
    <w:abstractNumId w:val="20"/>
  </w:num>
  <w:num w:numId="5" w16cid:durableId="1609508394">
    <w:abstractNumId w:val="9"/>
  </w:num>
  <w:num w:numId="6" w16cid:durableId="1943757628">
    <w:abstractNumId w:val="16"/>
  </w:num>
  <w:num w:numId="7" w16cid:durableId="1999183706">
    <w:abstractNumId w:val="28"/>
  </w:num>
  <w:num w:numId="8" w16cid:durableId="900403219">
    <w:abstractNumId w:val="6"/>
  </w:num>
  <w:num w:numId="9" w16cid:durableId="775439675">
    <w:abstractNumId w:val="8"/>
  </w:num>
  <w:num w:numId="10" w16cid:durableId="28461953">
    <w:abstractNumId w:val="33"/>
  </w:num>
  <w:num w:numId="11" w16cid:durableId="1041318235">
    <w:abstractNumId w:val="24"/>
  </w:num>
  <w:num w:numId="12" w16cid:durableId="883758255">
    <w:abstractNumId w:val="3"/>
  </w:num>
  <w:num w:numId="13" w16cid:durableId="596208962">
    <w:abstractNumId w:val="18"/>
  </w:num>
  <w:num w:numId="14" w16cid:durableId="15173115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854367">
    <w:abstractNumId w:val="0"/>
  </w:num>
  <w:num w:numId="16" w16cid:durableId="1449472642">
    <w:abstractNumId w:val="4"/>
  </w:num>
  <w:num w:numId="17" w16cid:durableId="868952322">
    <w:abstractNumId w:val="25"/>
  </w:num>
  <w:num w:numId="18" w16cid:durableId="617221769">
    <w:abstractNumId w:val="35"/>
  </w:num>
  <w:num w:numId="19" w16cid:durableId="670717915">
    <w:abstractNumId w:val="34"/>
  </w:num>
  <w:num w:numId="20" w16cid:durableId="1803696778">
    <w:abstractNumId w:val="15"/>
  </w:num>
  <w:num w:numId="21" w16cid:durableId="1470593628">
    <w:abstractNumId w:val="12"/>
  </w:num>
  <w:num w:numId="22" w16cid:durableId="1519584124">
    <w:abstractNumId w:val="7"/>
  </w:num>
  <w:num w:numId="23" w16cid:durableId="1142966474">
    <w:abstractNumId w:val="40"/>
  </w:num>
  <w:num w:numId="24" w16cid:durableId="18045853">
    <w:abstractNumId w:val="36"/>
  </w:num>
  <w:num w:numId="25" w16cid:durableId="632254973">
    <w:abstractNumId w:val="29"/>
  </w:num>
  <w:num w:numId="26" w16cid:durableId="1016689070">
    <w:abstractNumId w:val="32"/>
  </w:num>
  <w:num w:numId="27" w16cid:durableId="857473316">
    <w:abstractNumId w:val="23"/>
  </w:num>
  <w:num w:numId="28" w16cid:durableId="443774403">
    <w:abstractNumId w:val="37"/>
  </w:num>
  <w:num w:numId="29" w16cid:durableId="1306348824">
    <w:abstractNumId w:val="19"/>
  </w:num>
  <w:num w:numId="30" w16cid:durableId="707683126">
    <w:abstractNumId w:val="27"/>
  </w:num>
  <w:num w:numId="31" w16cid:durableId="1624771709">
    <w:abstractNumId w:val="17"/>
  </w:num>
  <w:num w:numId="32" w16cid:durableId="1140607739">
    <w:abstractNumId w:val="5"/>
  </w:num>
  <w:num w:numId="33" w16cid:durableId="570850164">
    <w:abstractNumId w:val="31"/>
  </w:num>
  <w:num w:numId="34" w16cid:durableId="491069879">
    <w:abstractNumId w:val="39"/>
  </w:num>
  <w:num w:numId="35" w16cid:durableId="1658916145">
    <w:abstractNumId w:val="10"/>
  </w:num>
  <w:num w:numId="36" w16cid:durableId="686445586">
    <w:abstractNumId w:val="2"/>
  </w:num>
  <w:num w:numId="37" w16cid:durableId="1326323066">
    <w:abstractNumId w:val="26"/>
  </w:num>
  <w:num w:numId="38" w16cid:durableId="1504778219">
    <w:abstractNumId w:val="41"/>
  </w:num>
  <w:num w:numId="39" w16cid:durableId="2056351600">
    <w:abstractNumId w:val="1"/>
  </w:num>
  <w:num w:numId="40" w16cid:durableId="377168601">
    <w:abstractNumId w:val="11"/>
  </w:num>
  <w:num w:numId="41" w16cid:durableId="730464274">
    <w:abstractNumId w:val="21"/>
  </w:num>
  <w:num w:numId="42" w16cid:durableId="436679335">
    <w:abstractNumId w:val="38"/>
  </w:num>
  <w:num w:numId="43" w16cid:durableId="6574206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243"/>
    <w:rsid w:val="00002C92"/>
    <w:rsid w:val="0000317E"/>
    <w:rsid w:val="00004067"/>
    <w:rsid w:val="0000673B"/>
    <w:rsid w:val="00013EBB"/>
    <w:rsid w:val="00021006"/>
    <w:rsid w:val="00031243"/>
    <w:rsid w:val="00055D97"/>
    <w:rsid w:val="00071866"/>
    <w:rsid w:val="000826E3"/>
    <w:rsid w:val="0009164C"/>
    <w:rsid w:val="000B2E58"/>
    <w:rsid w:val="000B469F"/>
    <w:rsid w:val="000C41B2"/>
    <w:rsid w:val="000D35D8"/>
    <w:rsid w:val="00110A61"/>
    <w:rsid w:val="0012232D"/>
    <w:rsid w:val="00127748"/>
    <w:rsid w:val="00132401"/>
    <w:rsid w:val="00143FF8"/>
    <w:rsid w:val="001649DF"/>
    <w:rsid w:val="0016774D"/>
    <w:rsid w:val="0017159D"/>
    <w:rsid w:val="001778CF"/>
    <w:rsid w:val="0018201F"/>
    <w:rsid w:val="001831BE"/>
    <w:rsid w:val="0019105B"/>
    <w:rsid w:val="0019658D"/>
    <w:rsid w:val="001A0812"/>
    <w:rsid w:val="001D1396"/>
    <w:rsid w:val="00223C04"/>
    <w:rsid w:val="00241015"/>
    <w:rsid w:val="00273314"/>
    <w:rsid w:val="0028219E"/>
    <w:rsid w:val="002A1F90"/>
    <w:rsid w:val="002C0A85"/>
    <w:rsid w:val="002E6460"/>
    <w:rsid w:val="00315D95"/>
    <w:rsid w:val="0033530B"/>
    <w:rsid w:val="00344935"/>
    <w:rsid w:val="00351631"/>
    <w:rsid w:val="00352674"/>
    <w:rsid w:val="00374771"/>
    <w:rsid w:val="00380613"/>
    <w:rsid w:val="00382D39"/>
    <w:rsid w:val="0039109B"/>
    <w:rsid w:val="00392630"/>
    <w:rsid w:val="0039417E"/>
    <w:rsid w:val="003A3575"/>
    <w:rsid w:val="003B4812"/>
    <w:rsid w:val="003C704C"/>
    <w:rsid w:val="003D2303"/>
    <w:rsid w:val="003D3058"/>
    <w:rsid w:val="003E086C"/>
    <w:rsid w:val="003E1982"/>
    <w:rsid w:val="003E1A87"/>
    <w:rsid w:val="003E6376"/>
    <w:rsid w:val="003F3C58"/>
    <w:rsid w:val="00417891"/>
    <w:rsid w:val="00427E5E"/>
    <w:rsid w:val="0045292B"/>
    <w:rsid w:val="00467E24"/>
    <w:rsid w:val="0047255D"/>
    <w:rsid w:val="004917B3"/>
    <w:rsid w:val="004A23FD"/>
    <w:rsid w:val="004A28DE"/>
    <w:rsid w:val="004A2924"/>
    <w:rsid w:val="004A6E20"/>
    <w:rsid w:val="004C3564"/>
    <w:rsid w:val="004C59F7"/>
    <w:rsid w:val="004D12B6"/>
    <w:rsid w:val="004E076B"/>
    <w:rsid w:val="004E0869"/>
    <w:rsid w:val="00507C26"/>
    <w:rsid w:val="00511B8A"/>
    <w:rsid w:val="005243C5"/>
    <w:rsid w:val="00562B00"/>
    <w:rsid w:val="0057154C"/>
    <w:rsid w:val="00581047"/>
    <w:rsid w:val="00594A30"/>
    <w:rsid w:val="005B0307"/>
    <w:rsid w:val="005E43E3"/>
    <w:rsid w:val="005E72D4"/>
    <w:rsid w:val="005E7D61"/>
    <w:rsid w:val="00615189"/>
    <w:rsid w:val="0062275F"/>
    <w:rsid w:val="00624567"/>
    <w:rsid w:val="00640E33"/>
    <w:rsid w:val="006414ED"/>
    <w:rsid w:val="00641DE7"/>
    <w:rsid w:val="00660857"/>
    <w:rsid w:val="00662532"/>
    <w:rsid w:val="0067060C"/>
    <w:rsid w:val="0067142B"/>
    <w:rsid w:val="00684A39"/>
    <w:rsid w:val="006A4E8B"/>
    <w:rsid w:val="006B0930"/>
    <w:rsid w:val="00701DCD"/>
    <w:rsid w:val="00712D2F"/>
    <w:rsid w:val="00720C70"/>
    <w:rsid w:val="00740496"/>
    <w:rsid w:val="0077125C"/>
    <w:rsid w:val="00773970"/>
    <w:rsid w:val="00790EA6"/>
    <w:rsid w:val="007B049B"/>
    <w:rsid w:val="007B4DF6"/>
    <w:rsid w:val="007E783A"/>
    <w:rsid w:val="007F5E6D"/>
    <w:rsid w:val="0080016A"/>
    <w:rsid w:val="008073F8"/>
    <w:rsid w:val="0081064B"/>
    <w:rsid w:val="00851E11"/>
    <w:rsid w:val="00861E0E"/>
    <w:rsid w:val="0086697E"/>
    <w:rsid w:val="00877DF0"/>
    <w:rsid w:val="00880EC3"/>
    <w:rsid w:val="0089347A"/>
    <w:rsid w:val="008C1DD6"/>
    <w:rsid w:val="008C413E"/>
    <w:rsid w:val="008E075F"/>
    <w:rsid w:val="00916350"/>
    <w:rsid w:val="0092131E"/>
    <w:rsid w:val="0093141E"/>
    <w:rsid w:val="00945A3E"/>
    <w:rsid w:val="009468C8"/>
    <w:rsid w:val="00962FD2"/>
    <w:rsid w:val="00972715"/>
    <w:rsid w:val="00972F7D"/>
    <w:rsid w:val="009A3D82"/>
    <w:rsid w:val="009A7239"/>
    <w:rsid w:val="009B08FF"/>
    <w:rsid w:val="009C4549"/>
    <w:rsid w:val="009E76BB"/>
    <w:rsid w:val="00A0026A"/>
    <w:rsid w:val="00A14C07"/>
    <w:rsid w:val="00A243C6"/>
    <w:rsid w:val="00A41FBA"/>
    <w:rsid w:val="00A5128B"/>
    <w:rsid w:val="00A53A4C"/>
    <w:rsid w:val="00A85BAA"/>
    <w:rsid w:val="00AB6F92"/>
    <w:rsid w:val="00AC329C"/>
    <w:rsid w:val="00AD60B6"/>
    <w:rsid w:val="00AD6434"/>
    <w:rsid w:val="00AE1F59"/>
    <w:rsid w:val="00AE7D50"/>
    <w:rsid w:val="00B30750"/>
    <w:rsid w:val="00B31B49"/>
    <w:rsid w:val="00B4063A"/>
    <w:rsid w:val="00B42F6A"/>
    <w:rsid w:val="00B43EEF"/>
    <w:rsid w:val="00B45EA7"/>
    <w:rsid w:val="00B53CD7"/>
    <w:rsid w:val="00B64EC3"/>
    <w:rsid w:val="00B84906"/>
    <w:rsid w:val="00B932A7"/>
    <w:rsid w:val="00B96157"/>
    <w:rsid w:val="00BD4514"/>
    <w:rsid w:val="00BE1755"/>
    <w:rsid w:val="00BF3BCE"/>
    <w:rsid w:val="00BF6264"/>
    <w:rsid w:val="00C04488"/>
    <w:rsid w:val="00C31C33"/>
    <w:rsid w:val="00C36178"/>
    <w:rsid w:val="00C50943"/>
    <w:rsid w:val="00C8283C"/>
    <w:rsid w:val="00CA1A95"/>
    <w:rsid w:val="00CA2C93"/>
    <w:rsid w:val="00CB476A"/>
    <w:rsid w:val="00CC46F8"/>
    <w:rsid w:val="00CD7ABC"/>
    <w:rsid w:val="00CE1F72"/>
    <w:rsid w:val="00CF315C"/>
    <w:rsid w:val="00CF667C"/>
    <w:rsid w:val="00D33935"/>
    <w:rsid w:val="00D57B6F"/>
    <w:rsid w:val="00D72822"/>
    <w:rsid w:val="00D77B7F"/>
    <w:rsid w:val="00D83F3F"/>
    <w:rsid w:val="00D8757D"/>
    <w:rsid w:val="00DB1D35"/>
    <w:rsid w:val="00DB79C6"/>
    <w:rsid w:val="00DD6127"/>
    <w:rsid w:val="00DE0FF4"/>
    <w:rsid w:val="00DF038C"/>
    <w:rsid w:val="00DF6157"/>
    <w:rsid w:val="00E237BC"/>
    <w:rsid w:val="00E24773"/>
    <w:rsid w:val="00E76FEB"/>
    <w:rsid w:val="00E82B77"/>
    <w:rsid w:val="00E857BF"/>
    <w:rsid w:val="00E94AD0"/>
    <w:rsid w:val="00EB29A7"/>
    <w:rsid w:val="00EF19E5"/>
    <w:rsid w:val="00F84FAC"/>
    <w:rsid w:val="00FA28EB"/>
    <w:rsid w:val="00FB078F"/>
    <w:rsid w:val="00FB5634"/>
    <w:rsid w:val="00FB79A2"/>
    <w:rsid w:val="00FD5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01BFEC"/>
  <w15:docId w15:val="{4DD1D30A-6A16-4EE4-8EB6-94C38D89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32D"/>
    <w:rPr>
      <w:lang w:val="en-GB"/>
    </w:rPr>
  </w:style>
  <w:style w:type="paragraph" w:styleId="Heading3">
    <w:name w:val="heading 3"/>
    <w:basedOn w:val="Normal"/>
    <w:next w:val="Normal"/>
    <w:link w:val="Heading3Char"/>
    <w:uiPriority w:val="9"/>
    <w:semiHidden/>
    <w:unhideWhenUsed/>
    <w:qFormat/>
    <w:rsid w:val="00916350"/>
    <w:pPr>
      <w:keepNext/>
      <w:keepLines/>
      <w:spacing w:before="40" w:after="0"/>
      <w:outlineLvl w:val="2"/>
    </w:pPr>
    <w:rPr>
      <w:rFonts w:asciiTheme="majorHAnsi" w:eastAsiaTheme="majorEastAsia" w:hAnsiTheme="majorHAnsi" w:cstheme="majorBidi"/>
      <w:color w:val="243F60" w:themeColor="accent1" w:themeShade="7F"/>
      <w:sz w:val="24"/>
      <w:szCs w:val="24"/>
      <w:lang w:eastAsia="en-GB"/>
    </w:rPr>
  </w:style>
  <w:style w:type="paragraph" w:styleId="Heading4">
    <w:name w:val="heading 4"/>
    <w:basedOn w:val="Normal"/>
    <w:link w:val="Heading4Char"/>
    <w:uiPriority w:val="9"/>
    <w:qFormat/>
    <w:rsid w:val="009163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4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2C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2C93"/>
  </w:style>
  <w:style w:type="paragraph" w:styleId="Footer">
    <w:name w:val="footer"/>
    <w:basedOn w:val="Normal"/>
    <w:link w:val="FooterChar"/>
    <w:uiPriority w:val="99"/>
    <w:unhideWhenUsed/>
    <w:rsid w:val="00CA2C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2C93"/>
  </w:style>
  <w:style w:type="paragraph" w:styleId="BalloonText">
    <w:name w:val="Balloon Text"/>
    <w:basedOn w:val="Normal"/>
    <w:link w:val="BalloonTextChar"/>
    <w:uiPriority w:val="99"/>
    <w:semiHidden/>
    <w:unhideWhenUsed/>
    <w:rsid w:val="004C3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564"/>
    <w:rPr>
      <w:rFonts w:ascii="Tahoma" w:hAnsi="Tahoma" w:cs="Tahoma"/>
      <w:sz w:val="16"/>
      <w:szCs w:val="16"/>
    </w:rPr>
  </w:style>
  <w:style w:type="paragraph" w:styleId="ListParagraph">
    <w:name w:val="List Paragraph"/>
    <w:basedOn w:val="Normal"/>
    <w:uiPriority w:val="34"/>
    <w:qFormat/>
    <w:rsid w:val="00D83F3F"/>
    <w:pPr>
      <w:ind w:left="720"/>
      <w:contextualSpacing/>
    </w:pPr>
  </w:style>
  <w:style w:type="paragraph" w:styleId="NoSpacing">
    <w:name w:val="No Spacing"/>
    <w:uiPriority w:val="1"/>
    <w:qFormat/>
    <w:rsid w:val="00CF315C"/>
    <w:pPr>
      <w:spacing w:after="0" w:line="240" w:lineRule="auto"/>
    </w:pPr>
    <w:rPr>
      <w:rFonts w:eastAsiaTheme="minorHAnsi"/>
      <w:lang w:val="en-GB"/>
    </w:rPr>
  </w:style>
  <w:style w:type="character" w:customStyle="1" w:styleId="Heading3Char">
    <w:name w:val="Heading 3 Char"/>
    <w:basedOn w:val="DefaultParagraphFont"/>
    <w:link w:val="Heading3"/>
    <w:uiPriority w:val="9"/>
    <w:semiHidden/>
    <w:rsid w:val="00916350"/>
    <w:rPr>
      <w:rFonts w:asciiTheme="majorHAnsi" w:eastAsiaTheme="majorEastAsia" w:hAnsiTheme="majorHAnsi" w:cstheme="majorBidi"/>
      <w:color w:val="243F60" w:themeColor="accent1" w:themeShade="7F"/>
      <w:sz w:val="24"/>
      <w:szCs w:val="24"/>
      <w:lang w:val="en-GB" w:eastAsia="en-GB"/>
    </w:rPr>
  </w:style>
  <w:style w:type="character" w:customStyle="1" w:styleId="Heading4Char">
    <w:name w:val="Heading 4 Char"/>
    <w:basedOn w:val="DefaultParagraphFont"/>
    <w:link w:val="Heading4"/>
    <w:uiPriority w:val="9"/>
    <w:rsid w:val="00916350"/>
    <w:rPr>
      <w:rFonts w:ascii="Times New Roman" w:eastAsia="Times New Roman" w:hAnsi="Times New Roman" w:cs="Times New Roman"/>
      <w:b/>
      <w:bCs/>
      <w:sz w:val="24"/>
      <w:szCs w:val="24"/>
      <w:lang w:val="en-GB" w:eastAsia="en-GB"/>
    </w:rPr>
  </w:style>
  <w:style w:type="character" w:styleId="Hyperlink">
    <w:name w:val="Hyperlink"/>
    <w:basedOn w:val="DefaultParagraphFont"/>
    <w:uiPriority w:val="99"/>
    <w:unhideWhenUsed/>
    <w:rsid w:val="00916350"/>
    <w:rPr>
      <w:color w:val="0000FF" w:themeColor="hyperlink"/>
      <w:u w:val="single"/>
    </w:rPr>
  </w:style>
  <w:style w:type="paragraph" w:customStyle="1" w:styleId="numbered-paragraph">
    <w:name w:val="numbered-paragraph"/>
    <w:basedOn w:val="Normal"/>
    <w:uiPriority w:val="99"/>
    <w:rsid w:val="00916350"/>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paragraph-number">
    <w:name w:val="paragraph-number"/>
    <w:basedOn w:val="DefaultParagraphFont"/>
    <w:rsid w:val="00916350"/>
  </w:style>
  <w:style w:type="character" w:styleId="Strong">
    <w:name w:val="Strong"/>
    <w:basedOn w:val="DefaultParagraphFont"/>
    <w:uiPriority w:val="22"/>
    <w:qFormat/>
    <w:rsid w:val="00916350"/>
    <w:rPr>
      <w:b/>
      <w:bCs/>
    </w:rPr>
  </w:style>
  <w:style w:type="character" w:customStyle="1" w:styleId="UnresolvedMention1">
    <w:name w:val="Unresolved Mention1"/>
    <w:basedOn w:val="DefaultParagraphFont"/>
    <w:uiPriority w:val="99"/>
    <w:semiHidden/>
    <w:unhideWhenUsed/>
    <w:rsid w:val="0057154C"/>
    <w:rPr>
      <w:color w:val="605E5C"/>
      <w:shd w:val="clear" w:color="auto" w:fill="E1DFDD"/>
    </w:rPr>
  </w:style>
  <w:style w:type="character" w:styleId="FollowedHyperlink">
    <w:name w:val="FollowedHyperlink"/>
    <w:basedOn w:val="DefaultParagraphFont"/>
    <w:uiPriority w:val="99"/>
    <w:semiHidden/>
    <w:unhideWhenUsed/>
    <w:rsid w:val="00DB1D35"/>
    <w:rPr>
      <w:color w:val="800080" w:themeColor="followedHyperlink"/>
      <w:u w:val="single"/>
    </w:rPr>
  </w:style>
  <w:style w:type="character" w:styleId="UnresolvedMention">
    <w:name w:val="Unresolved Mention"/>
    <w:basedOn w:val="DefaultParagraphFont"/>
    <w:uiPriority w:val="99"/>
    <w:semiHidden/>
    <w:unhideWhenUsed/>
    <w:rsid w:val="008E0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8648">
      <w:bodyDiv w:val="1"/>
      <w:marLeft w:val="0"/>
      <w:marRight w:val="0"/>
      <w:marTop w:val="0"/>
      <w:marBottom w:val="0"/>
      <w:divBdr>
        <w:top w:val="none" w:sz="0" w:space="0" w:color="auto"/>
        <w:left w:val="none" w:sz="0" w:space="0" w:color="auto"/>
        <w:bottom w:val="none" w:sz="0" w:space="0" w:color="auto"/>
        <w:right w:val="none" w:sz="0" w:space="0" w:color="auto"/>
      </w:divBdr>
    </w:div>
    <w:div w:id="98646148">
      <w:bodyDiv w:val="1"/>
      <w:marLeft w:val="0"/>
      <w:marRight w:val="0"/>
      <w:marTop w:val="0"/>
      <w:marBottom w:val="0"/>
      <w:divBdr>
        <w:top w:val="none" w:sz="0" w:space="0" w:color="auto"/>
        <w:left w:val="none" w:sz="0" w:space="0" w:color="auto"/>
        <w:bottom w:val="none" w:sz="0" w:space="0" w:color="auto"/>
        <w:right w:val="none" w:sz="0" w:space="0" w:color="auto"/>
      </w:divBdr>
      <w:divsChild>
        <w:div w:id="738795708">
          <w:marLeft w:val="0"/>
          <w:marRight w:val="0"/>
          <w:marTop w:val="360"/>
          <w:marBottom w:val="360"/>
          <w:divBdr>
            <w:top w:val="none" w:sz="0" w:space="0" w:color="auto"/>
            <w:left w:val="none" w:sz="0" w:space="0" w:color="auto"/>
            <w:bottom w:val="none" w:sz="0" w:space="0" w:color="auto"/>
            <w:right w:val="none" w:sz="0" w:space="0" w:color="auto"/>
          </w:divBdr>
        </w:div>
      </w:divsChild>
    </w:div>
    <w:div w:id="521356472">
      <w:bodyDiv w:val="1"/>
      <w:marLeft w:val="0"/>
      <w:marRight w:val="0"/>
      <w:marTop w:val="0"/>
      <w:marBottom w:val="0"/>
      <w:divBdr>
        <w:top w:val="none" w:sz="0" w:space="0" w:color="auto"/>
        <w:left w:val="none" w:sz="0" w:space="0" w:color="auto"/>
        <w:bottom w:val="none" w:sz="0" w:space="0" w:color="auto"/>
        <w:right w:val="none" w:sz="0" w:space="0" w:color="auto"/>
      </w:divBdr>
    </w:div>
    <w:div w:id="540022801">
      <w:bodyDiv w:val="1"/>
      <w:marLeft w:val="0"/>
      <w:marRight w:val="0"/>
      <w:marTop w:val="0"/>
      <w:marBottom w:val="0"/>
      <w:divBdr>
        <w:top w:val="none" w:sz="0" w:space="0" w:color="auto"/>
        <w:left w:val="none" w:sz="0" w:space="0" w:color="auto"/>
        <w:bottom w:val="none" w:sz="0" w:space="0" w:color="auto"/>
        <w:right w:val="none" w:sz="0" w:space="0" w:color="auto"/>
      </w:divBdr>
    </w:div>
    <w:div w:id="704526109">
      <w:bodyDiv w:val="1"/>
      <w:marLeft w:val="0"/>
      <w:marRight w:val="0"/>
      <w:marTop w:val="0"/>
      <w:marBottom w:val="0"/>
      <w:divBdr>
        <w:top w:val="none" w:sz="0" w:space="0" w:color="auto"/>
        <w:left w:val="none" w:sz="0" w:space="0" w:color="auto"/>
        <w:bottom w:val="none" w:sz="0" w:space="0" w:color="auto"/>
        <w:right w:val="none" w:sz="0" w:space="0" w:color="auto"/>
      </w:divBdr>
    </w:div>
    <w:div w:id="818619317">
      <w:bodyDiv w:val="1"/>
      <w:marLeft w:val="0"/>
      <w:marRight w:val="0"/>
      <w:marTop w:val="0"/>
      <w:marBottom w:val="0"/>
      <w:divBdr>
        <w:top w:val="none" w:sz="0" w:space="0" w:color="auto"/>
        <w:left w:val="none" w:sz="0" w:space="0" w:color="auto"/>
        <w:bottom w:val="none" w:sz="0" w:space="0" w:color="auto"/>
        <w:right w:val="none" w:sz="0" w:space="0" w:color="auto"/>
      </w:divBdr>
      <w:divsChild>
        <w:div w:id="1483539558">
          <w:marLeft w:val="0"/>
          <w:marRight w:val="0"/>
          <w:marTop w:val="360"/>
          <w:marBottom w:val="360"/>
          <w:divBdr>
            <w:top w:val="none" w:sz="0" w:space="0" w:color="auto"/>
            <w:left w:val="none" w:sz="0" w:space="0" w:color="auto"/>
            <w:bottom w:val="none" w:sz="0" w:space="0" w:color="auto"/>
            <w:right w:val="none" w:sz="0" w:space="0" w:color="auto"/>
          </w:divBdr>
        </w:div>
      </w:divsChild>
    </w:div>
    <w:div w:id="912274438">
      <w:bodyDiv w:val="1"/>
      <w:marLeft w:val="0"/>
      <w:marRight w:val="0"/>
      <w:marTop w:val="0"/>
      <w:marBottom w:val="0"/>
      <w:divBdr>
        <w:top w:val="none" w:sz="0" w:space="0" w:color="auto"/>
        <w:left w:val="none" w:sz="0" w:space="0" w:color="auto"/>
        <w:bottom w:val="none" w:sz="0" w:space="0" w:color="auto"/>
        <w:right w:val="none" w:sz="0" w:space="0" w:color="auto"/>
      </w:divBdr>
    </w:div>
    <w:div w:id="953555716">
      <w:bodyDiv w:val="1"/>
      <w:marLeft w:val="0"/>
      <w:marRight w:val="0"/>
      <w:marTop w:val="0"/>
      <w:marBottom w:val="0"/>
      <w:divBdr>
        <w:top w:val="none" w:sz="0" w:space="0" w:color="auto"/>
        <w:left w:val="none" w:sz="0" w:space="0" w:color="auto"/>
        <w:bottom w:val="none" w:sz="0" w:space="0" w:color="auto"/>
        <w:right w:val="none" w:sz="0" w:space="0" w:color="auto"/>
      </w:divBdr>
    </w:div>
    <w:div w:id="956835645">
      <w:bodyDiv w:val="1"/>
      <w:marLeft w:val="0"/>
      <w:marRight w:val="0"/>
      <w:marTop w:val="0"/>
      <w:marBottom w:val="0"/>
      <w:divBdr>
        <w:top w:val="none" w:sz="0" w:space="0" w:color="auto"/>
        <w:left w:val="none" w:sz="0" w:space="0" w:color="auto"/>
        <w:bottom w:val="none" w:sz="0" w:space="0" w:color="auto"/>
        <w:right w:val="none" w:sz="0" w:space="0" w:color="auto"/>
      </w:divBdr>
    </w:div>
    <w:div w:id="1086733017">
      <w:bodyDiv w:val="1"/>
      <w:marLeft w:val="0"/>
      <w:marRight w:val="0"/>
      <w:marTop w:val="0"/>
      <w:marBottom w:val="0"/>
      <w:divBdr>
        <w:top w:val="none" w:sz="0" w:space="0" w:color="auto"/>
        <w:left w:val="none" w:sz="0" w:space="0" w:color="auto"/>
        <w:bottom w:val="none" w:sz="0" w:space="0" w:color="auto"/>
        <w:right w:val="none" w:sz="0" w:space="0" w:color="auto"/>
      </w:divBdr>
    </w:div>
    <w:div w:id="1367096122">
      <w:bodyDiv w:val="1"/>
      <w:marLeft w:val="0"/>
      <w:marRight w:val="0"/>
      <w:marTop w:val="0"/>
      <w:marBottom w:val="0"/>
      <w:divBdr>
        <w:top w:val="none" w:sz="0" w:space="0" w:color="auto"/>
        <w:left w:val="none" w:sz="0" w:space="0" w:color="auto"/>
        <w:bottom w:val="none" w:sz="0" w:space="0" w:color="auto"/>
        <w:right w:val="none" w:sz="0" w:space="0" w:color="auto"/>
      </w:divBdr>
    </w:div>
    <w:div w:id="1441217408">
      <w:bodyDiv w:val="1"/>
      <w:marLeft w:val="0"/>
      <w:marRight w:val="0"/>
      <w:marTop w:val="0"/>
      <w:marBottom w:val="0"/>
      <w:divBdr>
        <w:top w:val="none" w:sz="0" w:space="0" w:color="auto"/>
        <w:left w:val="none" w:sz="0" w:space="0" w:color="auto"/>
        <w:bottom w:val="none" w:sz="0" w:space="0" w:color="auto"/>
        <w:right w:val="none" w:sz="0" w:space="0" w:color="auto"/>
      </w:divBdr>
    </w:div>
    <w:div w:id="152327932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910992278">
      <w:bodyDiv w:val="1"/>
      <w:marLeft w:val="0"/>
      <w:marRight w:val="0"/>
      <w:marTop w:val="0"/>
      <w:marBottom w:val="0"/>
      <w:divBdr>
        <w:top w:val="none" w:sz="0" w:space="0" w:color="auto"/>
        <w:left w:val="none" w:sz="0" w:space="0" w:color="auto"/>
        <w:bottom w:val="none" w:sz="0" w:space="0" w:color="auto"/>
        <w:right w:val="none" w:sz="0" w:space="0" w:color="auto"/>
      </w:divBdr>
    </w:div>
    <w:div w:id="1971088700">
      <w:bodyDiv w:val="1"/>
      <w:marLeft w:val="0"/>
      <w:marRight w:val="0"/>
      <w:marTop w:val="0"/>
      <w:marBottom w:val="0"/>
      <w:divBdr>
        <w:top w:val="none" w:sz="0" w:space="0" w:color="auto"/>
        <w:left w:val="none" w:sz="0" w:space="0" w:color="auto"/>
        <w:bottom w:val="none" w:sz="0" w:space="0" w:color="auto"/>
        <w:right w:val="none" w:sz="0" w:space="0" w:color="auto"/>
      </w:divBdr>
    </w:div>
    <w:div w:id="2025669124">
      <w:bodyDiv w:val="1"/>
      <w:marLeft w:val="0"/>
      <w:marRight w:val="0"/>
      <w:marTop w:val="0"/>
      <w:marBottom w:val="0"/>
      <w:divBdr>
        <w:top w:val="none" w:sz="0" w:space="0" w:color="auto"/>
        <w:left w:val="none" w:sz="0" w:space="0" w:color="auto"/>
        <w:bottom w:val="none" w:sz="0" w:space="0" w:color="auto"/>
        <w:right w:val="none" w:sz="0" w:space="0" w:color="auto"/>
      </w:divBdr>
    </w:div>
    <w:div w:id="206335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wp-content/uploads/2019/08/items-which-should-not-routinely-be-prescribed-in-primary-care-v2.1.pdf" TargetMode="External"/><Relationship Id="rId13" Type="http://schemas.openxmlformats.org/officeDocument/2006/relationships/footer" Target="footer2.xml"/><Relationship Id="rId18" Type="http://schemas.openxmlformats.org/officeDocument/2006/relationships/hyperlink" Target="https://www.hse.gov.uk/pubns/hsis7.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ngland.nhs.uk/wp-content/uploads/2019/08/items-which-should-not-routinely-be-prescribed-in-primary-care-v2.1.pdf"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yperlink" Target="https://www.nhsbsa.nhs.uk/sites/default/files/2023-01/Drug%20Tariff%20February%202023.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Safety</a:t>
            </a:r>
            <a:r>
              <a:rPr lang="en-GB" baseline="0"/>
              <a:t> Lancets and Pen needles Cost SyH ICB 2021 and 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Sheet1!$F$2:$F$3</c:f>
              <c:strCache>
                <c:ptCount val="2"/>
                <c:pt idx="0">
                  <c:v>2021</c:v>
                </c:pt>
                <c:pt idx="1">
                  <c:v>Safety Lancets (£)</c:v>
                </c:pt>
              </c:strCache>
            </c:strRef>
          </c:tx>
          <c:spPr>
            <a:solidFill>
              <a:schemeClr val="accent1"/>
            </a:solidFill>
            <a:ln>
              <a:noFill/>
            </a:ln>
            <a:effectLst/>
          </c:spPr>
          <c:invertIfNegative val="0"/>
          <c:cat>
            <c:strRef>
              <c:f>Sheet1!$E$4:$E$8</c:f>
              <c:strCache>
                <c:ptCount val="5"/>
                <c:pt idx="0">
                  <c:v>ES</c:v>
                </c:pt>
                <c:pt idx="1">
                  <c:v>G&amp;W</c:v>
                </c:pt>
                <c:pt idx="2">
                  <c:v>NWS</c:v>
                </c:pt>
                <c:pt idx="3">
                  <c:v>SD</c:v>
                </c:pt>
                <c:pt idx="4">
                  <c:v>Total</c:v>
                </c:pt>
              </c:strCache>
            </c:strRef>
          </c:cat>
          <c:val>
            <c:numRef>
              <c:f>Sheet1!$F$4:$F$8</c:f>
              <c:numCache>
                <c:formatCode>#,##0</c:formatCode>
                <c:ptCount val="5"/>
                <c:pt idx="0">
                  <c:v>1377</c:v>
                </c:pt>
                <c:pt idx="1">
                  <c:v>1404</c:v>
                </c:pt>
                <c:pt idx="2">
                  <c:v>551</c:v>
                </c:pt>
                <c:pt idx="3">
                  <c:v>3636</c:v>
                </c:pt>
                <c:pt idx="4">
                  <c:v>6968</c:v>
                </c:pt>
              </c:numCache>
            </c:numRef>
          </c:val>
          <c:extLst>
            <c:ext xmlns:c16="http://schemas.microsoft.com/office/drawing/2014/chart" uri="{C3380CC4-5D6E-409C-BE32-E72D297353CC}">
              <c16:uniqueId val="{00000000-567A-4FE6-B141-C9306849CB88}"/>
            </c:ext>
          </c:extLst>
        </c:ser>
        <c:ser>
          <c:idx val="1"/>
          <c:order val="1"/>
          <c:tx>
            <c:strRef>
              <c:f>Sheet1!$G$2:$G$3</c:f>
              <c:strCache>
                <c:ptCount val="2"/>
                <c:pt idx="0">
                  <c:v>2022</c:v>
                </c:pt>
                <c:pt idx="1">
                  <c:v>Safety  lancets (£)</c:v>
                </c:pt>
              </c:strCache>
            </c:strRef>
          </c:tx>
          <c:spPr>
            <a:solidFill>
              <a:schemeClr val="accent2"/>
            </a:solidFill>
            <a:ln>
              <a:noFill/>
            </a:ln>
            <a:effectLst/>
          </c:spPr>
          <c:invertIfNegative val="0"/>
          <c:cat>
            <c:strRef>
              <c:f>Sheet1!$E$4:$E$8</c:f>
              <c:strCache>
                <c:ptCount val="5"/>
                <c:pt idx="0">
                  <c:v>ES</c:v>
                </c:pt>
                <c:pt idx="1">
                  <c:v>G&amp;W</c:v>
                </c:pt>
                <c:pt idx="2">
                  <c:v>NWS</c:v>
                </c:pt>
                <c:pt idx="3">
                  <c:v>SD</c:v>
                </c:pt>
                <c:pt idx="4">
                  <c:v>Total</c:v>
                </c:pt>
              </c:strCache>
            </c:strRef>
          </c:cat>
          <c:val>
            <c:numRef>
              <c:f>Sheet1!$G$4:$G$8</c:f>
              <c:numCache>
                <c:formatCode>General</c:formatCode>
                <c:ptCount val="5"/>
                <c:pt idx="0">
                  <c:v>1271</c:v>
                </c:pt>
                <c:pt idx="1">
                  <c:v>1402</c:v>
                </c:pt>
                <c:pt idx="2">
                  <c:v>684</c:v>
                </c:pt>
                <c:pt idx="3">
                  <c:v>3503</c:v>
                </c:pt>
                <c:pt idx="4">
                  <c:v>6860</c:v>
                </c:pt>
              </c:numCache>
            </c:numRef>
          </c:val>
          <c:extLst>
            <c:ext xmlns:c16="http://schemas.microsoft.com/office/drawing/2014/chart" uri="{C3380CC4-5D6E-409C-BE32-E72D297353CC}">
              <c16:uniqueId val="{00000001-567A-4FE6-B141-C9306849CB88}"/>
            </c:ext>
          </c:extLst>
        </c:ser>
        <c:ser>
          <c:idx val="2"/>
          <c:order val="2"/>
          <c:tx>
            <c:strRef>
              <c:f>Sheet1!$H$2:$H$3</c:f>
              <c:strCache>
                <c:ptCount val="2"/>
                <c:pt idx="0">
                  <c:v>2021</c:v>
                </c:pt>
                <c:pt idx="1">
                  <c:v>Safety pen needles (£)</c:v>
                </c:pt>
              </c:strCache>
            </c:strRef>
          </c:tx>
          <c:spPr>
            <a:solidFill>
              <a:schemeClr val="accent3"/>
            </a:solidFill>
            <a:ln>
              <a:noFill/>
            </a:ln>
            <a:effectLst/>
          </c:spPr>
          <c:invertIfNegative val="0"/>
          <c:cat>
            <c:strRef>
              <c:f>Sheet1!$E$4:$E$8</c:f>
              <c:strCache>
                <c:ptCount val="5"/>
                <c:pt idx="0">
                  <c:v>ES</c:v>
                </c:pt>
                <c:pt idx="1">
                  <c:v>G&amp;W</c:v>
                </c:pt>
                <c:pt idx="2">
                  <c:v>NWS</c:v>
                </c:pt>
                <c:pt idx="3">
                  <c:v>SD</c:v>
                </c:pt>
                <c:pt idx="4">
                  <c:v>Total</c:v>
                </c:pt>
              </c:strCache>
            </c:strRef>
          </c:cat>
          <c:val>
            <c:numRef>
              <c:f>Sheet1!$H$4:$H$8</c:f>
              <c:numCache>
                <c:formatCode>#,##0</c:formatCode>
                <c:ptCount val="5"/>
                <c:pt idx="0">
                  <c:v>10979</c:v>
                </c:pt>
                <c:pt idx="1">
                  <c:v>11038</c:v>
                </c:pt>
                <c:pt idx="2">
                  <c:v>16282</c:v>
                </c:pt>
                <c:pt idx="3">
                  <c:v>21297</c:v>
                </c:pt>
                <c:pt idx="4">
                  <c:v>59596</c:v>
                </c:pt>
              </c:numCache>
            </c:numRef>
          </c:val>
          <c:extLst>
            <c:ext xmlns:c16="http://schemas.microsoft.com/office/drawing/2014/chart" uri="{C3380CC4-5D6E-409C-BE32-E72D297353CC}">
              <c16:uniqueId val="{00000002-567A-4FE6-B141-C9306849CB88}"/>
            </c:ext>
          </c:extLst>
        </c:ser>
        <c:ser>
          <c:idx val="3"/>
          <c:order val="3"/>
          <c:tx>
            <c:strRef>
              <c:f>Sheet1!$I$2:$I$3</c:f>
              <c:strCache>
                <c:ptCount val="2"/>
                <c:pt idx="0">
                  <c:v>2022</c:v>
                </c:pt>
                <c:pt idx="1">
                  <c:v>Safety Pen needles (£)</c:v>
                </c:pt>
              </c:strCache>
            </c:strRef>
          </c:tx>
          <c:spPr>
            <a:solidFill>
              <a:schemeClr val="accent4"/>
            </a:solidFill>
            <a:ln>
              <a:noFill/>
            </a:ln>
            <a:effectLst/>
          </c:spPr>
          <c:invertIfNegative val="0"/>
          <c:cat>
            <c:strRef>
              <c:f>Sheet1!$E$4:$E$8</c:f>
              <c:strCache>
                <c:ptCount val="5"/>
                <c:pt idx="0">
                  <c:v>ES</c:v>
                </c:pt>
                <c:pt idx="1">
                  <c:v>G&amp;W</c:v>
                </c:pt>
                <c:pt idx="2">
                  <c:v>NWS</c:v>
                </c:pt>
                <c:pt idx="3">
                  <c:v>SD</c:v>
                </c:pt>
                <c:pt idx="4">
                  <c:v>Total</c:v>
                </c:pt>
              </c:strCache>
            </c:strRef>
          </c:cat>
          <c:val>
            <c:numRef>
              <c:f>Sheet1!$I$4:$I$8</c:f>
              <c:numCache>
                <c:formatCode>General</c:formatCode>
                <c:ptCount val="5"/>
                <c:pt idx="0">
                  <c:v>9420</c:v>
                </c:pt>
                <c:pt idx="1">
                  <c:v>11603</c:v>
                </c:pt>
                <c:pt idx="2">
                  <c:v>16641</c:v>
                </c:pt>
                <c:pt idx="3">
                  <c:v>22844</c:v>
                </c:pt>
                <c:pt idx="4">
                  <c:v>60508</c:v>
                </c:pt>
              </c:numCache>
            </c:numRef>
          </c:val>
          <c:extLst>
            <c:ext xmlns:c16="http://schemas.microsoft.com/office/drawing/2014/chart" uri="{C3380CC4-5D6E-409C-BE32-E72D297353CC}">
              <c16:uniqueId val="{00000003-567A-4FE6-B141-C9306849CB88}"/>
            </c:ext>
          </c:extLst>
        </c:ser>
        <c:dLbls>
          <c:showLegendKey val="0"/>
          <c:showVal val="0"/>
          <c:showCatName val="0"/>
          <c:showSerName val="0"/>
          <c:showPercent val="0"/>
          <c:showBubbleSize val="0"/>
        </c:dLbls>
        <c:gapWidth val="219"/>
        <c:overlap val="-27"/>
        <c:axId val="589866735"/>
        <c:axId val="589867983"/>
      </c:barChart>
      <c:catAx>
        <c:axId val="58986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867983"/>
        <c:crosses val="autoZero"/>
        <c:auto val="1"/>
        <c:lblAlgn val="ctr"/>
        <c:lblOffset val="100"/>
        <c:noMultiLvlLbl val="0"/>
      </c:catAx>
      <c:valAx>
        <c:axId val="5898679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866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[Lancets and Safety needles.xlsx]charts!PivotTable1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Safety Lancet Prescription Items (Primary Care) Surrey Heartlands ICB</a:t>
            </a:r>
          </a:p>
        </c:rich>
      </c:tx>
      <c:layout>
        <c:manualLayout>
          <c:xMode val="edge"/>
          <c:yMode val="edge"/>
          <c:x val="0.13356683426619864"/>
          <c:y val="1.7316025185954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58299339088638E-2"/>
          <c:y val="0.10704189569117301"/>
          <c:w val="0.47925851437245037"/>
          <c:h val="0.7277389088813484"/>
        </c:manualLayout>
      </c:layout>
      <c:barChart>
        <c:barDir val="col"/>
        <c:grouping val="stacked"/>
        <c:varyColors val="0"/>
        <c:ser>
          <c:idx val="0"/>
          <c:order val="0"/>
          <c:tx>
            <c:strRef>
              <c:f>charts!$B$3:$B$4</c:f>
              <c:strCache>
                <c:ptCount val="1"/>
                <c:pt idx="0">
                  <c:v>GlucoRx Safety lancets 1.6mm/30gauge</c:v>
                </c:pt>
              </c:strCache>
            </c:strRef>
          </c:tx>
          <c:spPr>
            <a:solidFill>
              <a:schemeClr val="accent1"/>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charts!$B$5:$B$14</c:f>
              <c:numCache>
                <c:formatCode>General</c:formatCode>
                <c:ptCount val="9"/>
                <c:pt idx="0">
                  <c:v>130</c:v>
                </c:pt>
                <c:pt idx="1">
                  <c:v>112</c:v>
                </c:pt>
                <c:pt idx="2">
                  <c:v>229</c:v>
                </c:pt>
                <c:pt idx="3">
                  <c:v>152</c:v>
                </c:pt>
                <c:pt idx="4">
                  <c:v>157</c:v>
                </c:pt>
                <c:pt idx="5">
                  <c:v>140</c:v>
                </c:pt>
                <c:pt idx="6">
                  <c:v>181</c:v>
                </c:pt>
                <c:pt idx="7">
                  <c:v>164</c:v>
                </c:pt>
                <c:pt idx="8">
                  <c:v>182</c:v>
                </c:pt>
              </c:numCache>
            </c:numRef>
          </c:val>
          <c:extLst>
            <c:ext xmlns:c16="http://schemas.microsoft.com/office/drawing/2014/chart" uri="{C3380CC4-5D6E-409C-BE32-E72D297353CC}">
              <c16:uniqueId val="{00000000-A5B5-41FB-BE21-7C74CCB58369}"/>
            </c:ext>
          </c:extLst>
        </c:ser>
        <c:ser>
          <c:idx val="1"/>
          <c:order val="1"/>
          <c:tx>
            <c:strRef>
              <c:f>charts!$C$3:$C$4</c:f>
              <c:strCache>
                <c:ptCount val="1"/>
                <c:pt idx="0">
                  <c:v>GlucoRx Safety lancets 1.8mm/28gauge</c:v>
                </c:pt>
              </c:strCache>
            </c:strRef>
          </c:tx>
          <c:spPr>
            <a:solidFill>
              <a:schemeClr val="accent2"/>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charts!$C$5:$C$14</c:f>
              <c:numCache>
                <c:formatCode>General</c:formatCode>
                <c:ptCount val="9"/>
                <c:pt idx="0">
                  <c:v>27</c:v>
                </c:pt>
                <c:pt idx="1">
                  <c:v>22</c:v>
                </c:pt>
                <c:pt idx="2">
                  <c:v>38</c:v>
                </c:pt>
                <c:pt idx="3">
                  <c:v>30</c:v>
                </c:pt>
                <c:pt idx="4">
                  <c:v>43</c:v>
                </c:pt>
                <c:pt idx="5">
                  <c:v>42</c:v>
                </c:pt>
                <c:pt idx="6">
                  <c:v>31</c:v>
                </c:pt>
                <c:pt idx="7">
                  <c:v>28</c:v>
                </c:pt>
                <c:pt idx="8">
                  <c:v>22</c:v>
                </c:pt>
              </c:numCache>
            </c:numRef>
          </c:val>
          <c:extLst>
            <c:ext xmlns:c16="http://schemas.microsoft.com/office/drawing/2014/chart" uri="{C3380CC4-5D6E-409C-BE32-E72D297353CC}">
              <c16:uniqueId val="{00000001-A5B5-41FB-BE21-7C74CCB58369}"/>
            </c:ext>
          </c:extLst>
        </c:ser>
        <c:ser>
          <c:idx val="2"/>
          <c:order val="2"/>
          <c:tx>
            <c:strRef>
              <c:f>charts!$D$3:$D$4</c:f>
              <c:strCache>
                <c:ptCount val="1"/>
                <c:pt idx="0">
                  <c:v>GlucoRx Safety lancets 1.8mm/26gauge</c:v>
                </c:pt>
              </c:strCache>
            </c:strRef>
          </c:tx>
          <c:spPr>
            <a:solidFill>
              <a:schemeClr val="accent3"/>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charts!$D$5:$D$14</c:f>
              <c:numCache>
                <c:formatCode>General</c:formatCode>
                <c:ptCount val="9"/>
                <c:pt idx="0">
                  <c:v>32</c:v>
                </c:pt>
                <c:pt idx="1">
                  <c:v>33</c:v>
                </c:pt>
                <c:pt idx="2">
                  <c:v>31</c:v>
                </c:pt>
                <c:pt idx="3">
                  <c:v>25</c:v>
                </c:pt>
                <c:pt idx="4">
                  <c:v>28</c:v>
                </c:pt>
                <c:pt idx="5">
                  <c:v>27</c:v>
                </c:pt>
                <c:pt idx="6">
                  <c:v>34</c:v>
                </c:pt>
                <c:pt idx="7">
                  <c:v>32</c:v>
                </c:pt>
                <c:pt idx="8">
                  <c:v>30</c:v>
                </c:pt>
              </c:numCache>
            </c:numRef>
          </c:val>
          <c:extLst>
            <c:ext xmlns:c16="http://schemas.microsoft.com/office/drawing/2014/chart" uri="{C3380CC4-5D6E-409C-BE32-E72D297353CC}">
              <c16:uniqueId val="{00000002-A5B5-41FB-BE21-7C74CCB58369}"/>
            </c:ext>
          </c:extLst>
        </c:ser>
        <c:ser>
          <c:idx val="3"/>
          <c:order val="3"/>
          <c:tx>
            <c:strRef>
              <c:f>charts!$E$3:$E$4</c:f>
              <c:strCache>
                <c:ptCount val="1"/>
                <c:pt idx="0">
                  <c:v>GlucoRx Safety lancets 2.2mm/23gauge</c:v>
                </c:pt>
              </c:strCache>
            </c:strRef>
          </c:tx>
          <c:spPr>
            <a:solidFill>
              <a:schemeClr val="accent4"/>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charts!$E$5:$E$14</c:f>
              <c:numCache>
                <c:formatCode>General</c:formatCode>
                <c:ptCount val="9"/>
                <c:pt idx="0">
                  <c:v>8</c:v>
                </c:pt>
                <c:pt idx="1">
                  <c:v>12</c:v>
                </c:pt>
                <c:pt idx="2">
                  <c:v>7</c:v>
                </c:pt>
                <c:pt idx="3">
                  <c:v>11</c:v>
                </c:pt>
                <c:pt idx="4">
                  <c:v>15</c:v>
                </c:pt>
                <c:pt idx="5">
                  <c:v>14</c:v>
                </c:pt>
                <c:pt idx="6">
                  <c:v>6</c:v>
                </c:pt>
                <c:pt idx="7">
                  <c:v>9</c:v>
                </c:pt>
                <c:pt idx="8">
                  <c:v>9</c:v>
                </c:pt>
              </c:numCache>
            </c:numRef>
          </c:val>
          <c:extLst>
            <c:ext xmlns:c16="http://schemas.microsoft.com/office/drawing/2014/chart" uri="{C3380CC4-5D6E-409C-BE32-E72D297353CC}">
              <c16:uniqueId val="{00000003-A5B5-41FB-BE21-7C74CCB58369}"/>
            </c:ext>
          </c:extLst>
        </c:ser>
        <c:ser>
          <c:idx val="4"/>
          <c:order val="4"/>
          <c:tx>
            <c:strRef>
              <c:f>charts!$F$3:$F$4</c:f>
              <c:strCache>
                <c:ptCount val="1"/>
                <c:pt idx="0">
                  <c:v>Mylife Safety lancets 0.36mm/28gauge</c:v>
                </c:pt>
              </c:strCache>
            </c:strRef>
          </c:tx>
          <c:spPr>
            <a:solidFill>
              <a:schemeClr val="accent5"/>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charts!$F$5:$F$14</c:f>
              <c:numCache>
                <c:formatCode>General</c:formatCode>
                <c:ptCount val="9"/>
                <c:pt idx="0">
                  <c:v>12</c:v>
                </c:pt>
                <c:pt idx="1">
                  <c:v>7</c:v>
                </c:pt>
                <c:pt idx="2">
                  <c:v>13</c:v>
                </c:pt>
                <c:pt idx="3">
                  <c:v>15</c:v>
                </c:pt>
                <c:pt idx="4">
                  <c:v>6</c:v>
                </c:pt>
                <c:pt idx="5">
                  <c:v>8</c:v>
                </c:pt>
                <c:pt idx="6">
                  <c:v>4</c:v>
                </c:pt>
                <c:pt idx="7">
                  <c:v>9</c:v>
                </c:pt>
                <c:pt idx="8">
                  <c:v>9</c:v>
                </c:pt>
              </c:numCache>
            </c:numRef>
          </c:val>
          <c:extLst>
            <c:ext xmlns:c16="http://schemas.microsoft.com/office/drawing/2014/chart" uri="{C3380CC4-5D6E-409C-BE32-E72D297353CC}">
              <c16:uniqueId val="{00000004-A5B5-41FB-BE21-7C74CCB58369}"/>
            </c:ext>
          </c:extLst>
        </c:ser>
        <c:ser>
          <c:idx val="5"/>
          <c:order val="5"/>
          <c:tx>
            <c:strRef>
              <c:f>charts!$G$3:$G$4</c:f>
              <c:strCache>
                <c:ptCount val="1"/>
                <c:pt idx="0">
                  <c:v>Mylife Safety Comfort lancets 0.32mm/30gauge</c:v>
                </c:pt>
              </c:strCache>
            </c:strRef>
          </c:tx>
          <c:spPr>
            <a:solidFill>
              <a:schemeClr val="accent6"/>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charts!$G$5:$G$14</c:f>
              <c:numCache>
                <c:formatCode>General</c:formatCode>
                <c:ptCount val="9"/>
                <c:pt idx="0">
                  <c:v>8</c:v>
                </c:pt>
                <c:pt idx="1">
                  <c:v>10</c:v>
                </c:pt>
                <c:pt idx="2">
                  <c:v>13</c:v>
                </c:pt>
                <c:pt idx="3">
                  <c:v>4</c:v>
                </c:pt>
                <c:pt idx="4">
                  <c:v>3</c:v>
                </c:pt>
                <c:pt idx="5">
                  <c:v>4</c:v>
                </c:pt>
                <c:pt idx="6">
                  <c:v>3</c:v>
                </c:pt>
                <c:pt idx="7">
                  <c:v>4</c:v>
                </c:pt>
                <c:pt idx="8">
                  <c:v>4</c:v>
                </c:pt>
              </c:numCache>
            </c:numRef>
          </c:val>
          <c:extLst>
            <c:ext xmlns:c16="http://schemas.microsoft.com/office/drawing/2014/chart" uri="{C3380CC4-5D6E-409C-BE32-E72D297353CC}">
              <c16:uniqueId val="{00000005-A5B5-41FB-BE21-7C74CCB58369}"/>
            </c:ext>
          </c:extLst>
        </c:ser>
        <c:ser>
          <c:idx val="6"/>
          <c:order val="6"/>
          <c:tx>
            <c:strRef>
              <c:f>charts!$H$3:$H$4</c:f>
              <c:strCache>
                <c:ptCount val="1"/>
                <c:pt idx="0">
                  <c:v>Neon Verifine Safety lancets 1.8mm/23gauge</c:v>
                </c:pt>
              </c:strCache>
            </c:strRef>
          </c:tx>
          <c:spPr>
            <a:solidFill>
              <a:schemeClr val="accent1">
                <a:lumMod val="60000"/>
              </a:schemeClr>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charts!$H$5:$H$14</c:f>
              <c:numCache>
                <c:formatCode>General</c:formatCode>
                <c:ptCount val="9"/>
                <c:pt idx="0">
                  <c:v>5</c:v>
                </c:pt>
                <c:pt idx="1">
                  <c:v>4</c:v>
                </c:pt>
                <c:pt idx="2">
                  <c:v>3</c:v>
                </c:pt>
                <c:pt idx="3">
                  <c:v>2</c:v>
                </c:pt>
                <c:pt idx="4">
                  <c:v>3</c:v>
                </c:pt>
                <c:pt idx="5">
                  <c:v>1</c:v>
                </c:pt>
                <c:pt idx="6">
                  <c:v>1</c:v>
                </c:pt>
                <c:pt idx="8">
                  <c:v>2</c:v>
                </c:pt>
              </c:numCache>
            </c:numRef>
          </c:val>
          <c:extLst>
            <c:ext xmlns:c16="http://schemas.microsoft.com/office/drawing/2014/chart" uri="{C3380CC4-5D6E-409C-BE32-E72D297353CC}">
              <c16:uniqueId val="{00000006-A5B5-41FB-BE21-7C74CCB58369}"/>
            </c:ext>
          </c:extLst>
        </c:ser>
        <c:ser>
          <c:idx val="7"/>
          <c:order val="7"/>
          <c:tx>
            <c:strRef>
              <c:f>charts!$I$3:$I$4</c:f>
              <c:strCache>
                <c:ptCount val="1"/>
                <c:pt idx="0">
                  <c:v>Apollo pressure-activated safety lancets 1.8mm/26gauge</c:v>
                </c:pt>
              </c:strCache>
            </c:strRef>
          </c:tx>
          <c:spPr>
            <a:solidFill>
              <a:schemeClr val="accent2">
                <a:lumMod val="60000"/>
              </a:schemeClr>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charts!$I$5:$I$14</c:f>
              <c:numCache>
                <c:formatCode>General</c:formatCode>
                <c:ptCount val="9"/>
                <c:pt idx="3">
                  <c:v>1</c:v>
                </c:pt>
                <c:pt idx="4">
                  <c:v>4</c:v>
                </c:pt>
                <c:pt idx="5">
                  <c:v>2</c:v>
                </c:pt>
                <c:pt idx="6">
                  <c:v>2</c:v>
                </c:pt>
                <c:pt idx="7">
                  <c:v>3</c:v>
                </c:pt>
                <c:pt idx="8">
                  <c:v>1</c:v>
                </c:pt>
              </c:numCache>
            </c:numRef>
          </c:val>
          <c:extLst>
            <c:ext xmlns:c16="http://schemas.microsoft.com/office/drawing/2014/chart" uri="{C3380CC4-5D6E-409C-BE32-E72D297353CC}">
              <c16:uniqueId val="{00000007-A5B5-41FB-BE21-7C74CCB58369}"/>
            </c:ext>
          </c:extLst>
        </c:ser>
        <c:ser>
          <c:idx val="8"/>
          <c:order val="8"/>
          <c:tx>
            <c:strRef>
              <c:f>charts!$J$3:$J$4</c:f>
              <c:strCache>
                <c:ptCount val="1"/>
                <c:pt idx="0">
                  <c:v>Apollo pressure-activated safety lancets 1.8mm/28gauge</c:v>
                </c:pt>
              </c:strCache>
            </c:strRef>
          </c:tx>
          <c:spPr>
            <a:solidFill>
              <a:schemeClr val="accent3">
                <a:lumMod val="60000"/>
              </a:schemeClr>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charts!$J$5:$J$14</c:f>
              <c:numCache>
                <c:formatCode>General</c:formatCode>
                <c:ptCount val="9"/>
                <c:pt idx="0">
                  <c:v>2</c:v>
                </c:pt>
                <c:pt idx="1">
                  <c:v>1</c:v>
                </c:pt>
                <c:pt idx="2">
                  <c:v>3</c:v>
                </c:pt>
                <c:pt idx="5">
                  <c:v>1</c:v>
                </c:pt>
              </c:numCache>
            </c:numRef>
          </c:val>
          <c:extLst>
            <c:ext xmlns:c16="http://schemas.microsoft.com/office/drawing/2014/chart" uri="{C3380CC4-5D6E-409C-BE32-E72D297353CC}">
              <c16:uniqueId val="{00000008-A5B5-41FB-BE21-7C74CCB58369}"/>
            </c:ext>
          </c:extLst>
        </c:ser>
        <c:ser>
          <c:idx val="9"/>
          <c:order val="9"/>
          <c:tx>
            <c:strRef>
              <c:f>charts!$K$3:$K$4</c:f>
              <c:strCache>
                <c:ptCount val="1"/>
                <c:pt idx="0">
                  <c:v>Neon Verifine Safety lancets 1.8mm/28gauge</c:v>
                </c:pt>
              </c:strCache>
            </c:strRef>
          </c:tx>
          <c:spPr>
            <a:solidFill>
              <a:schemeClr val="accent4">
                <a:lumMod val="60000"/>
              </a:schemeClr>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charts!$K$5:$K$14</c:f>
              <c:numCache>
                <c:formatCode>General</c:formatCode>
                <c:ptCount val="9"/>
                <c:pt idx="5">
                  <c:v>1</c:v>
                </c:pt>
                <c:pt idx="6">
                  <c:v>1</c:v>
                </c:pt>
                <c:pt idx="8">
                  <c:v>1</c:v>
                </c:pt>
              </c:numCache>
            </c:numRef>
          </c:val>
          <c:extLst>
            <c:ext xmlns:c16="http://schemas.microsoft.com/office/drawing/2014/chart" uri="{C3380CC4-5D6E-409C-BE32-E72D297353CC}">
              <c16:uniqueId val="{00000009-A5B5-41FB-BE21-7C74CCB58369}"/>
            </c:ext>
          </c:extLst>
        </c:ser>
        <c:ser>
          <c:idx val="10"/>
          <c:order val="10"/>
          <c:tx>
            <c:strRef>
              <c:f>charts!$L$3:$L$4</c:f>
              <c:strCache>
                <c:ptCount val="1"/>
                <c:pt idx="0">
                  <c:v>Sterilance Lite II safety lancets 1.8mm/28gauge</c:v>
                </c:pt>
              </c:strCache>
            </c:strRef>
          </c:tx>
          <c:spPr>
            <a:solidFill>
              <a:schemeClr val="accent5">
                <a:lumMod val="60000"/>
              </a:schemeClr>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charts!$L$5:$L$14</c:f>
              <c:numCache>
                <c:formatCode>General</c:formatCode>
                <c:ptCount val="9"/>
                <c:pt idx="5">
                  <c:v>1</c:v>
                </c:pt>
              </c:numCache>
            </c:numRef>
          </c:val>
          <c:extLst>
            <c:ext xmlns:c16="http://schemas.microsoft.com/office/drawing/2014/chart" uri="{C3380CC4-5D6E-409C-BE32-E72D297353CC}">
              <c16:uniqueId val="{0000000A-A5B5-41FB-BE21-7C74CCB58369}"/>
            </c:ext>
          </c:extLst>
        </c:ser>
        <c:ser>
          <c:idx val="11"/>
          <c:order val="11"/>
          <c:tx>
            <c:strRef>
              <c:f>charts!$M$3:$M$4</c:f>
              <c:strCache>
                <c:ptCount val="1"/>
                <c:pt idx="0">
                  <c:v>Neon Verifine Safety lancets 1.8mm/30gauge</c:v>
                </c:pt>
              </c:strCache>
            </c:strRef>
          </c:tx>
          <c:spPr>
            <a:solidFill>
              <a:schemeClr val="accent6">
                <a:lumMod val="60000"/>
              </a:schemeClr>
            </a:solidFill>
            <a:ln>
              <a:noFill/>
            </a:ln>
            <a:effectLst/>
          </c:spPr>
          <c:invertIfNegative val="0"/>
          <c:cat>
            <c:strRef>
              <c:f>charts!$A$5:$A$14</c:f>
              <c:strCache>
                <c:ptCount val="9"/>
                <c:pt idx="0">
                  <c:v>Oct - Dec 20</c:v>
                </c:pt>
                <c:pt idx="1">
                  <c:v>Jan - Mar 21</c:v>
                </c:pt>
                <c:pt idx="2">
                  <c:v>Apr - Jun 21</c:v>
                </c:pt>
                <c:pt idx="3">
                  <c:v>Jul - Sep 21</c:v>
                </c:pt>
                <c:pt idx="4">
                  <c:v>Oct - Dec 21</c:v>
                </c:pt>
                <c:pt idx="5">
                  <c:v>Jan - Mar 22</c:v>
                </c:pt>
                <c:pt idx="6">
                  <c:v>Apr - Jun 22</c:v>
                </c:pt>
                <c:pt idx="7">
                  <c:v>Jul - Sep 22</c:v>
                </c:pt>
                <c:pt idx="8">
                  <c:v>Oct - Dec 22</c:v>
                </c:pt>
              </c:strCache>
            </c:strRef>
          </c:cat>
          <c:val>
            <c:numRef>
              <c:f>charts!$M$5:$M$14</c:f>
              <c:numCache>
                <c:formatCode>General</c:formatCode>
                <c:ptCount val="9"/>
                <c:pt idx="4">
                  <c:v>1</c:v>
                </c:pt>
              </c:numCache>
            </c:numRef>
          </c:val>
          <c:extLst>
            <c:ext xmlns:c16="http://schemas.microsoft.com/office/drawing/2014/chart" uri="{C3380CC4-5D6E-409C-BE32-E72D297353CC}">
              <c16:uniqueId val="{0000000B-A5B5-41FB-BE21-7C74CCB58369}"/>
            </c:ext>
          </c:extLst>
        </c:ser>
        <c:dLbls>
          <c:showLegendKey val="0"/>
          <c:showVal val="0"/>
          <c:showCatName val="0"/>
          <c:showSerName val="0"/>
          <c:showPercent val="0"/>
          <c:showBubbleSize val="0"/>
        </c:dLbls>
        <c:gapWidth val="219"/>
        <c:overlap val="100"/>
        <c:axId val="77560159"/>
        <c:axId val="77550591"/>
      </c:barChart>
      <c:catAx>
        <c:axId val="77560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50591"/>
        <c:crosses val="autoZero"/>
        <c:auto val="1"/>
        <c:lblAlgn val="ctr"/>
        <c:lblOffset val="100"/>
        <c:noMultiLvlLbl val="0"/>
      </c:catAx>
      <c:valAx>
        <c:axId val="7755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60159"/>
        <c:crosses val="autoZero"/>
        <c:crossBetween val="between"/>
      </c:valAx>
      <c:spPr>
        <a:noFill/>
        <a:ln>
          <a:noFill/>
        </a:ln>
        <a:effectLst/>
      </c:spPr>
    </c:plotArea>
    <c:legend>
      <c:legendPos val="r"/>
      <c:layout>
        <c:manualLayout>
          <c:xMode val="edge"/>
          <c:yMode val="edge"/>
          <c:x val="0.55635025139929795"/>
          <c:y val="0.22915146022722624"/>
          <c:w val="0.43453815261044176"/>
          <c:h val="0.748351114452109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FCFD1-D88C-4F00-9FE6-AA68B1CA3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SurreyPCT</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Claridge Rachel</dc:creator>
  <cp:lastModifiedBy>perminder oberai</cp:lastModifiedBy>
  <cp:revision>3</cp:revision>
  <cp:lastPrinted>2013-04-18T12:03:00Z</cp:lastPrinted>
  <dcterms:created xsi:type="dcterms:W3CDTF">2023-03-10T12:36:00Z</dcterms:created>
  <dcterms:modified xsi:type="dcterms:W3CDTF">2023-03-10T12:47:00Z</dcterms:modified>
</cp:coreProperties>
</file>